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中共廊坊市委讲师团（廊坊市社会科学界联合会）</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w:t>
      </w:r>
      <w:bookmarkStart w:id="3" w:name="_GoBack"/>
      <w:bookmarkEnd w:id="3"/>
      <w:r>
        <w:rPr>
          <w:rFonts w:ascii="Times New Roman" w:hAnsi="Times New Roman" w:eastAsia="仿宋_GB2312" w:cs="Times New Roman"/>
          <w:sz w:val="32"/>
          <w:szCs w:val="32"/>
        </w:rPr>
        <w:t>定，现将</w:t>
      </w:r>
      <w:r>
        <w:rPr>
          <w:rFonts w:hint="eastAsia" w:ascii="Times New Roman" w:hAnsi="Times New Roman" w:eastAsia="仿宋_GB2312" w:cs="Times New Roman"/>
          <w:sz w:val="32"/>
          <w:szCs w:val="32"/>
          <w:lang w:val="en-US" w:eastAsia="zh-CN"/>
        </w:rPr>
        <w:t>中共廊坊市委讲师团（廊坊市社会科学界联合会）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仿宋_GB2312" w:eastAsia="仿宋_GB2312"/>
          <w:sz w:val="32"/>
          <w:szCs w:val="32"/>
        </w:rPr>
      </w:pPr>
      <w:r>
        <w:rPr>
          <w:rFonts w:hint="eastAsia" w:ascii="仿宋_GB2312" w:eastAsia="仿宋_GB2312"/>
          <w:sz w:val="32"/>
          <w:szCs w:val="32"/>
        </w:rPr>
        <w:t>（一）根据党中央、省、市委统一部署和形势任务要求，在市委宣传部统一领导下，紧紧围绕新时代坚持和发展中国特色社会主义这个主题，组织实施重大主题宣讲。</w:t>
      </w:r>
    </w:p>
    <w:p>
      <w:pPr>
        <w:spacing w:line="584" w:lineRule="exact"/>
        <w:ind w:firstLine="640" w:firstLineChars="200"/>
        <w:rPr>
          <w:rFonts w:ascii="仿宋_GB2312" w:eastAsia="仿宋_GB2312"/>
          <w:sz w:val="32"/>
          <w:szCs w:val="32"/>
        </w:rPr>
      </w:pPr>
      <w:r>
        <w:rPr>
          <w:rFonts w:hint="eastAsia" w:ascii="仿宋_GB2312" w:eastAsia="仿宋_GB2312"/>
          <w:sz w:val="32"/>
          <w:szCs w:val="32"/>
        </w:rPr>
        <w:t>（二）围绕新时代基层干部群众日益增长的理论需求，组织开展基层理论和形势政策宣讲，办好“廊坊干部理论教育网”。</w:t>
      </w:r>
    </w:p>
    <w:p>
      <w:pPr>
        <w:spacing w:line="584" w:lineRule="exact"/>
        <w:ind w:firstLine="640" w:firstLineChars="200"/>
        <w:rPr>
          <w:rFonts w:ascii="仿宋_GB2312" w:eastAsia="仿宋_GB2312"/>
          <w:sz w:val="32"/>
          <w:szCs w:val="32"/>
        </w:rPr>
      </w:pPr>
      <w:r>
        <w:rPr>
          <w:rFonts w:hint="eastAsia" w:ascii="仿宋_GB2312" w:eastAsia="仿宋_GB2312"/>
          <w:sz w:val="32"/>
          <w:szCs w:val="32"/>
        </w:rPr>
        <w:t>（三）参与做好市委中心组理论学习服务工作，参与对下级党委（党组)理论学习中心组学习情况督查考核。</w:t>
      </w:r>
    </w:p>
    <w:p>
      <w:pPr>
        <w:spacing w:line="584" w:lineRule="exact"/>
        <w:ind w:firstLine="640" w:firstLineChars="200"/>
        <w:rPr>
          <w:rFonts w:ascii="仿宋_GB2312" w:eastAsia="仿宋_GB2312"/>
          <w:sz w:val="32"/>
          <w:szCs w:val="32"/>
        </w:rPr>
      </w:pPr>
      <w:r>
        <w:rPr>
          <w:rFonts w:hint="eastAsia" w:ascii="仿宋_GB2312" w:eastAsia="仿宋_GB2312"/>
          <w:sz w:val="32"/>
          <w:szCs w:val="32"/>
        </w:rPr>
        <w:t>（四）根据党中央、省、市委部署，组织开展党员干部在职理论教育、形势政策教育工作。</w:t>
      </w:r>
    </w:p>
    <w:p>
      <w:pPr>
        <w:spacing w:line="584" w:lineRule="exact"/>
        <w:ind w:firstLine="640" w:firstLineChars="200"/>
        <w:rPr>
          <w:rFonts w:ascii="仿宋_GB2312" w:eastAsia="仿宋_GB2312"/>
          <w:sz w:val="32"/>
          <w:szCs w:val="32"/>
        </w:rPr>
      </w:pPr>
      <w:r>
        <w:rPr>
          <w:rFonts w:hint="eastAsia" w:ascii="仿宋_GB2312" w:eastAsia="仿宋_GB2312"/>
          <w:sz w:val="32"/>
          <w:szCs w:val="32"/>
        </w:rPr>
        <w:t>（五）结合廊坊经济社会发展实际和干部群众思想实际，组织开展理论和现实问题调查研究，加强研究成果转化。</w:t>
      </w:r>
    </w:p>
    <w:p>
      <w:pPr>
        <w:spacing w:line="584" w:lineRule="exact"/>
        <w:ind w:firstLine="640" w:firstLineChars="200"/>
        <w:rPr>
          <w:rFonts w:ascii="仿宋_GB2312" w:eastAsia="仿宋_GB2312"/>
          <w:sz w:val="32"/>
          <w:szCs w:val="32"/>
        </w:rPr>
      </w:pPr>
      <w:r>
        <w:rPr>
          <w:rFonts w:hint="eastAsia" w:ascii="仿宋_GB2312" w:eastAsia="仿宋_GB2312"/>
          <w:sz w:val="32"/>
          <w:szCs w:val="32"/>
        </w:rPr>
        <w:t>（六）负责全市社科联工作，制定工作计划，拟定工作重点，起草工作文件。</w:t>
      </w:r>
    </w:p>
    <w:p>
      <w:pPr>
        <w:spacing w:line="584" w:lineRule="exact"/>
        <w:ind w:firstLine="640" w:firstLineChars="200"/>
        <w:rPr>
          <w:rFonts w:ascii="仿宋_GB2312" w:eastAsia="仿宋_GB2312"/>
          <w:sz w:val="32"/>
          <w:szCs w:val="32"/>
        </w:rPr>
      </w:pPr>
      <w:r>
        <w:rPr>
          <w:rFonts w:hint="eastAsia" w:ascii="仿宋_GB2312" w:eastAsia="仿宋_GB2312"/>
          <w:sz w:val="32"/>
          <w:szCs w:val="32"/>
        </w:rPr>
        <w:t>（七）负责对县级社科联及所属学会团体管理和协调指导工作。</w:t>
      </w:r>
    </w:p>
    <w:p>
      <w:pPr>
        <w:spacing w:line="584" w:lineRule="exact"/>
        <w:ind w:firstLine="640" w:firstLineChars="200"/>
        <w:rPr>
          <w:rFonts w:ascii="仿宋_GB2312" w:eastAsia="仿宋_GB2312"/>
          <w:sz w:val="32"/>
          <w:szCs w:val="32"/>
        </w:rPr>
      </w:pPr>
      <w:r>
        <w:rPr>
          <w:rFonts w:hint="eastAsia" w:ascii="仿宋_GB2312" w:eastAsia="仿宋_GB2312"/>
          <w:sz w:val="32"/>
          <w:szCs w:val="32"/>
        </w:rPr>
        <w:t>（八）办好《廊坊社会科学》季刊。</w:t>
      </w:r>
    </w:p>
    <w:p>
      <w:pPr>
        <w:spacing w:line="584" w:lineRule="exact"/>
        <w:ind w:firstLine="640" w:firstLineChars="200"/>
        <w:rPr>
          <w:rFonts w:ascii="仿宋_GB2312" w:eastAsia="仿宋_GB2312"/>
          <w:sz w:val="32"/>
          <w:szCs w:val="32"/>
        </w:rPr>
      </w:pPr>
      <w:r>
        <w:rPr>
          <w:rFonts w:hint="eastAsia" w:ascii="仿宋_GB2312" w:eastAsia="仿宋_GB2312"/>
          <w:sz w:val="32"/>
          <w:szCs w:val="32"/>
        </w:rPr>
        <w:t>（九）负责社科知识普及、重点课题研究、社科优秀成果评奖、组织开展社科活动等项工作。</w:t>
      </w:r>
    </w:p>
    <w:p>
      <w:pPr>
        <w:spacing w:line="584" w:lineRule="exact"/>
        <w:ind w:firstLine="640" w:firstLineChars="200"/>
        <w:rPr>
          <w:rFonts w:ascii="仿宋_GB2312" w:eastAsia="仿宋_GB2312"/>
          <w:sz w:val="32"/>
          <w:szCs w:val="32"/>
        </w:rPr>
      </w:pPr>
      <w:r>
        <w:rPr>
          <w:rFonts w:hint="eastAsia" w:ascii="仿宋_GB2312" w:eastAsia="仿宋_GB2312"/>
          <w:sz w:val="32"/>
          <w:szCs w:val="32"/>
        </w:rPr>
        <w:t>（十）完成市委宣传部和省委讲师团、省社科联交办的各项工作任务。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rPr>
              <w:t>中共廊坊市委讲师团（廊坊市社会科学界联合会）</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rPr>
              <w:t>参照公务员管理的</w:t>
            </w:r>
            <w:r>
              <w:rPr>
                <w:rFonts w:ascii="Times New Roman" w:hAnsi="Times New Roman" w:eastAsia="仿宋_GB2312" w:cs="Times New Roman"/>
              </w:rPr>
              <w:t>事业单位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rPr>
              <w:t>副处级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按照预算管理有关规定，目前我市部门预算的编制实行综合预算制度，即全部收入和支出都反映在预算中。</w:t>
      </w:r>
      <w:r>
        <w:rPr>
          <w:rFonts w:hint="eastAsia" w:ascii="Times New Roman" w:hAnsi="Times New Roman" w:eastAsia="仿宋_GB2312" w:cs="Times New Roman"/>
          <w:sz w:val="32"/>
          <w:szCs w:val="32"/>
        </w:rPr>
        <w:t>中共廊坊市委讲师团（廊坊市社会科学界联合会）</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327.2</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327.2</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rPr>
        <w:t>中共廊坊市委讲师团（廊坊市社会科学界联合会）</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327.2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224.54</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200.18</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24.36</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102.66</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rPr>
        <w:t>巡回宣讲经费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廊坊大讲堂和廊坊市干部理论教育网运行维护费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社科宣传普及教育和管理经费</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lang w:val="en-US" w:eastAsia="zh-CN"/>
        </w:rPr>
        <w:t>327.2</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w:t>
      </w:r>
      <w:r>
        <w:rPr>
          <w:rFonts w:ascii="Times New Roman" w:hAnsi="Times New Roman" w:eastAsia="仿宋_GB2312" w:cs="Times New Roman"/>
          <w:sz w:val="32"/>
          <w:szCs w:val="32"/>
          <w:highlight w:val="none"/>
        </w:rPr>
        <w:t>减少</w:t>
      </w:r>
      <w:r>
        <w:rPr>
          <w:rFonts w:hint="eastAsia" w:ascii="Times New Roman" w:hAnsi="Times New Roman" w:eastAsia="仿宋_GB2312" w:cs="Times New Roman"/>
          <w:sz w:val="32"/>
          <w:szCs w:val="32"/>
          <w:highlight w:val="none"/>
          <w:lang w:val="en-US" w:eastAsia="zh-CN"/>
        </w:rPr>
        <w:t>21.23</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highlight w:val="none"/>
          <w:lang w:val="en-US" w:eastAsia="zh-CN"/>
        </w:rPr>
        <w:t>10.37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人员</w:t>
      </w:r>
      <w:r>
        <w:rPr>
          <w:rFonts w:ascii="Times New Roman" w:hAnsi="Times New Roman" w:eastAsia="仿宋_GB2312" w:cs="Times New Roman"/>
          <w:sz w:val="32"/>
          <w:szCs w:val="32"/>
        </w:rPr>
        <w:t>支出；项目支出</w:t>
      </w:r>
      <w:r>
        <w:rPr>
          <w:rFonts w:ascii="Times New Roman" w:hAnsi="Times New Roman" w:eastAsia="仿宋_GB2312" w:cs="Times New Roman"/>
          <w:sz w:val="32"/>
          <w:szCs w:val="32"/>
          <w:highlight w:val="none"/>
        </w:rPr>
        <w:t>减少</w:t>
      </w:r>
      <w:r>
        <w:rPr>
          <w:rFonts w:hint="eastAsia" w:ascii="Times New Roman" w:hAnsi="Times New Roman" w:eastAsia="仿宋_GB2312" w:cs="Times New Roman"/>
          <w:sz w:val="32"/>
          <w:szCs w:val="32"/>
          <w:highlight w:val="none"/>
          <w:lang w:val="en-US" w:eastAsia="zh-CN"/>
        </w:rPr>
        <w:t>31.6万</w:t>
      </w:r>
      <w:r>
        <w:rPr>
          <w:rFonts w:ascii="Times New Roman" w:hAnsi="Times New Roman" w:eastAsia="仿宋_GB2312" w:cs="Times New Roman"/>
          <w:sz w:val="32"/>
          <w:szCs w:val="32"/>
        </w:rPr>
        <w:t>元，主要为</w:t>
      </w:r>
      <w:r>
        <w:rPr>
          <w:rFonts w:hint="eastAsia" w:ascii="Times New Roman" w:hAnsi="Times New Roman" w:eastAsia="仿宋_GB2312" w:cs="Times New Roman"/>
          <w:sz w:val="32"/>
          <w:szCs w:val="32"/>
          <w:lang w:val="en-US" w:eastAsia="zh-CN"/>
        </w:rPr>
        <w:t>2021年无</w:t>
      </w:r>
      <w:r>
        <w:rPr>
          <w:rFonts w:hint="eastAsia" w:ascii="Times New Roman" w:hAnsi="Times New Roman" w:eastAsia="仿宋_GB2312" w:cs="Times New Roman"/>
          <w:sz w:val="32"/>
          <w:szCs w:val="32"/>
        </w:rPr>
        <w:t>社科优秀成果评奖</w:t>
      </w:r>
      <w:r>
        <w:rPr>
          <w:rFonts w:ascii="Times New Roman" w:hAnsi="Times New Roman" w:eastAsia="仿宋_GB2312" w:cs="Times New Roman"/>
          <w:sz w:val="32"/>
          <w:szCs w:val="32"/>
        </w:rPr>
        <w:t>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24.36</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中共廊坊市委讲师团（廊坊市社会科学界联合会）</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firstLine="640" w:firstLineChars="200"/>
        <w:jc w:val="left"/>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val="en-US" w:eastAsia="zh-CN"/>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lang w:val="en-US" w:eastAsia="zh-CN"/>
        </w:rPr>
        <w:t>2.39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元，公务用车运维费</w:t>
      </w:r>
      <w:r>
        <w:rPr>
          <w:rFonts w:hint="eastAsia" w:ascii="Times New Roman" w:hAnsi="Times New Roman" w:eastAsia="仿宋_GB2312" w:cs="Times New Roman"/>
          <w:sz w:val="32"/>
          <w:szCs w:val="32"/>
          <w:lang w:val="en-US" w:eastAsia="zh-CN"/>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0.2</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color w:val="000000" w:themeColor="text1"/>
          <w:sz w:val="32"/>
          <w:szCs w:val="32"/>
          <w:highlight w:val="none"/>
        </w:rPr>
        <w:t>增</w:t>
      </w:r>
      <w:r>
        <w:rPr>
          <w:rFonts w:hint="eastAsia" w:ascii="Times New Roman" w:hAnsi="Times New Roman" w:eastAsia="仿宋_GB2312" w:cs="Times New Roman"/>
          <w:color w:val="000000" w:themeColor="text1"/>
          <w:sz w:val="32"/>
          <w:szCs w:val="32"/>
          <w:highlight w:val="none"/>
        </w:rPr>
        <w:t>加</w:t>
      </w:r>
      <w:r>
        <w:rPr>
          <w:rFonts w:hint="eastAsia" w:ascii="Times New Roman" w:hAnsi="Times New Roman" w:eastAsia="仿宋_GB2312" w:cs="Times New Roman"/>
          <w:sz w:val="32"/>
          <w:szCs w:val="32"/>
          <w:lang w:val="en-US" w:eastAsia="zh-CN"/>
        </w:rPr>
        <w:t>0.03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公务接待费</w:t>
      </w:r>
      <w:r>
        <w:rPr>
          <w:rFonts w:ascii="Times New Roman" w:hAnsi="Times New Roman" w:eastAsia="仿宋_GB2312" w:cs="Times New Roman"/>
          <w:sz w:val="32"/>
          <w:szCs w:val="32"/>
          <w:highlight w:val="none"/>
        </w:rPr>
        <w:t>增</w:t>
      </w:r>
      <w:r>
        <w:rPr>
          <w:rFonts w:hint="eastAsia" w:ascii="Times New Roman" w:hAnsi="Times New Roman" w:eastAsia="仿宋_GB2312" w:cs="Times New Roman"/>
          <w:sz w:val="32"/>
          <w:szCs w:val="32"/>
          <w:highlight w:val="none"/>
        </w:rPr>
        <w:t>加</w:t>
      </w:r>
      <w:r>
        <w:rPr>
          <w:rFonts w:hint="eastAsia" w:ascii="Times New Roman" w:hAnsi="Times New Roman" w:eastAsia="仿宋_GB2312" w:cs="Times New Roman"/>
          <w:sz w:val="32"/>
          <w:szCs w:val="32"/>
          <w:lang w:val="en-US" w:eastAsia="zh-CN"/>
        </w:rPr>
        <w:t>0.03</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lang w:val="en-US" w:eastAsia="zh-CN"/>
        </w:rPr>
        <w:t>市本级运转类公用经费定额标准调整。</w:t>
      </w:r>
    </w:p>
    <w:p>
      <w:pPr>
        <w:spacing w:line="584" w:lineRule="exact"/>
        <w:ind w:firstLine="640" w:firstLineChars="200"/>
        <w:rPr>
          <w:rFonts w:hint="eastAsia" w:ascii="Times New Roman" w:hAnsi="Times New Roman" w:eastAsia="仿宋_GB2312" w:cs="Times New Roman"/>
          <w:sz w:val="32"/>
          <w:szCs w:val="32"/>
          <w:lang w:val="en-US" w:eastAsia="zh-CN"/>
        </w:rPr>
      </w:pPr>
      <w:r>
        <w:rPr>
          <w:rFonts w:ascii="Times New Roman" w:hAnsi="Times New Roman" w:eastAsia="黑体" w:cs="Times New Roman"/>
          <w:sz w:val="32"/>
          <w:szCs w:val="32"/>
        </w:rPr>
        <w:t>五、绩效预算信息</w:t>
      </w:r>
      <w:r>
        <w:rPr>
          <w:rFonts w:hint="eastAsia" w:ascii="仿宋_GB2312" w:eastAsia="仿宋_GB2312" w:cs="Times New Roman"/>
          <w:sz w:val="32"/>
          <w:szCs w:val="32"/>
        </w:rPr>
        <w:t>（与部门绩效文本内容保持一致）</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widowControl w:val="0"/>
        <w:kinsoku/>
        <w:wordWrap/>
        <w:overflowPunct w:val="0"/>
        <w:topLinePunct w:val="0"/>
        <w:autoSpaceDE/>
        <w:autoSpaceDN/>
        <w:bidi w:val="0"/>
        <w:adjustRightInd w:val="0"/>
        <w:snapToGrid w:val="0"/>
        <w:spacing w:line="584" w:lineRule="exact"/>
        <w:ind w:firstLine="640" w:firstLineChars="200"/>
        <w:textAlignment w:val="auto"/>
        <w:rPr>
          <w:rFonts w:eastAsia="仿宋_GB2312"/>
          <w:color w:val="000000" w:themeColor="text1"/>
          <w:kern w:val="32"/>
          <w:sz w:val="32"/>
          <w:szCs w:val="32"/>
        </w:rPr>
      </w:pPr>
      <w:r>
        <w:rPr>
          <w:rFonts w:eastAsia="仿宋_GB2312"/>
          <w:color w:val="000000" w:themeColor="text1"/>
          <w:kern w:val="32"/>
          <w:sz w:val="32"/>
          <w:szCs w:val="32"/>
        </w:rPr>
        <w:t>根据党中央、省、市委统一部署和形势任务要求，在市委宣传部统一领导下，紧紧围绕深入学习宣传阐释习近平新时代中国特色社会主义思想的重大意义、科学体系、丰富内涵和精神实质，扎实推进形势政策宣讲、社科理论研究、社科宣传普及，组织实施重大主题宣讲。围绕新时代基层干部群众日益增长的理论需求，组织开展基层理论和形势政策宣讲，力争2021年组织宣讲场次达到40场以上，受众人数达3000人以上。结合廊坊经济社会发展实际和干部群众思想实际，组织开展理论和现实问题调查研究，加强研究成果转化，努力保证理论研究成果优秀率达40%以上。持续强化对县级社科联及所属学会团体的管理和协调指导，负责办好《廊坊社会科学》季刊，为新时代加快建设经济强市、美丽廊坊做出积极贡献。</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adjustRightInd w:val="0"/>
        <w:snapToGrid w:val="0"/>
        <w:spacing w:line="584" w:lineRule="exact"/>
        <w:ind w:firstLine="643" w:firstLineChars="200"/>
        <w:rPr>
          <w:rFonts w:eastAsia="楷体_GB2312"/>
          <w:b/>
          <w:bCs/>
          <w:color w:val="000000" w:themeColor="text1"/>
          <w:kern w:val="32"/>
          <w:sz w:val="32"/>
          <w:szCs w:val="32"/>
        </w:rPr>
      </w:pPr>
      <w:r>
        <w:rPr>
          <w:rFonts w:eastAsia="楷体_GB2312"/>
          <w:b/>
          <w:bCs/>
          <w:color w:val="000000" w:themeColor="text1"/>
          <w:kern w:val="32"/>
          <w:sz w:val="32"/>
          <w:szCs w:val="32"/>
        </w:rPr>
        <w:t>（</w:t>
      </w:r>
      <w:r>
        <w:rPr>
          <w:rFonts w:hint="eastAsia" w:eastAsia="楷体_GB2312"/>
          <w:b/>
          <w:bCs/>
          <w:color w:val="000000" w:themeColor="text1"/>
          <w:kern w:val="32"/>
          <w:sz w:val="32"/>
          <w:szCs w:val="32"/>
          <w:lang w:val="en-US" w:eastAsia="zh-CN"/>
        </w:rPr>
        <w:t>1</w:t>
      </w:r>
      <w:r>
        <w:rPr>
          <w:rFonts w:eastAsia="楷体_GB2312"/>
          <w:b/>
          <w:bCs/>
          <w:color w:val="000000" w:themeColor="text1"/>
          <w:kern w:val="32"/>
          <w:sz w:val="32"/>
          <w:szCs w:val="32"/>
        </w:rPr>
        <w:t>）加强政府决策理论依据和智力支撑</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adjustRightInd w:val="0"/>
        <w:snapToGrid w:val="0"/>
        <w:spacing w:line="584" w:lineRule="exact"/>
        <w:ind w:firstLine="643" w:firstLineChars="200"/>
        <w:rPr>
          <w:rFonts w:eastAsia="仿宋_GB2312"/>
          <w:color w:val="000000" w:themeColor="text1"/>
          <w:kern w:val="32"/>
          <w:sz w:val="32"/>
          <w:szCs w:val="32"/>
        </w:rPr>
      </w:pPr>
      <w:r>
        <w:rPr>
          <w:rFonts w:eastAsia="仿宋_GB2312"/>
          <w:b/>
          <w:bCs/>
          <w:color w:val="000000" w:themeColor="text1"/>
          <w:kern w:val="32"/>
          <w:sz w:val="32"/>
          <w:szCs w:val="32"/>
        </w:rPr>
        <w:t>绩效目标：</w:t>
      </w:r>
      <w:r>
        <w:rPr>
          <w:rFonts w:eastAsia="仿宋_GB2312"/>
          <w:color w:val="000000" w:themeColor="text1"/>
          <w:kern w:val="32"/>
          <w:sz w:val="32"/>
          <w:szCs w:val="32"/>
        </w:rPr>
        <w:t>通过组织我市理论社科专家开展马克思主义理论研究和建设工程课题研究，推出一批高质量的研究成果，为市委、市政府科学决策提供理论依据和智力支撑。</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adjustRightInd w:val="0"/>
        <w:snapToGrid w:val="0"/>
        <w:spacing w:line="584" w:lineRule="exact"/>
        <w:ind w:firstLine="643" w:firstLineChars="200"/>
        <w:rPr>
          <w:rFonts w:eastAsia="仿宋_GB2312"/>
          <w:color w:val="000000" w:themeColor="text1"/>
          <w:kern w:val="32"/>
          <w:sz w:val="32"/>
          <w:szCs w:val="32"/>
        </w:rPr>
      </w:pPr>
      <w:r>
        <w:rPr>
          <w:rFonts w:eastAsia="仿宋_GB2312"/>
          <w:b/>
          <w:bCs/>
          <w:color w:val="000000" w:themeColor="text1"/>
          <w:kern w:val="32"/>
          <w:sz w:val="32"/>
          <w:szCs w:val="32"/>
        </w:rPr>
        <w:t>绩效指标：</w:t>
      </w:r>
      <w:r>
        <w:rPr>
          <w:rFonts w:eastAsia="仿宋_GB2312"/>
          <w:color w:val="000000" w:themeColor="text1"/>
          <w:kern w:val="32"/>
          <w:sz w:val="32"/>
          <w:szCs w:val="32"/>
        </w:rPr>
        <w:t>通过开展项目推出研究成果70项，努力争取优秀研究成果占比达到40%以上，为市委、市政府科学决策献计献策。</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adjustRightInd w:val="0"/>
        <w:snapToGrid w:val="0"/>
        <w:spacing w:line="584" w:lineRule="exact"/>
        <w:ind w:firstLine="643" w:firstLineChars="200"/>
        <w:rPr>
          <w:rFonts w:eastAsia="楷体_GB2312"/>
          <w:b/>
          <w:bCs/>
          <w:color w:val="000000" w:themeColor="text1"/>
          <w:kern w:val="32"/>
          <w:sz w:val="32"/>
          <w:szCs w:val="32"/>
        </w:rPr>
      </w:pPr>
      <w:r>
        <w:rPr>
          <w:rFonts w:eastAsia="楷体_GB2312"/>
          <w:b/>
          <w:bCs/>
          <w:color w:val="000000" w:themeColor="text1"/>
          <w:kern w:val="32"/>
          <w:sz w:val="32"/>
          <w:szCs w:val="32"/>
        </w:rPr>
        <w:t>（</w:t>
      </w:r>
      <w:r>
        <w:rPr>
          <w:rFonts w:hint="eastAsia" w:eastAsia="楷体_GB2312"/>
          <w:b/>
          <w:bCs/>
          <w:color w:val="000000" w:themeColor="text1"/>
          <w:kern w:val="32"/>
          <w:sz w:val="32"/>
          <w:szCs w:val="32"/>
          <w:lang w:val="en-US" w:eastAsia="zh-CN"/>
        </w:rPr>
        <w:t>2</w:t>
      </w:r>
      <w:r>
        <w:rPr>
          <w:rFonts w:eastAsia="楷体_GB2312"/>
          <w:b/>
          <w:bCs/>
          <w:color w:val="000000" w:themeColor="text1"/>
          <w:kern w:val="32"/>
          <w:sz w:val="32"/>
          <w:szCs w:val="32"/>
        </w:rPr>
        <w:t>）推动社会主义思想深入人心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adjustRightInd w:val="0"/>
        <w:snapToGrid w:val="0"/>
        <w:spacing w:line="584" w:lineRule="exact"/>
        <w:ind w:firstLine="643" w:firstLineChars="200"/>
        <w:rPr>
          <w:rFonts w:eastAsia="仿宋_GB2312"/>
          <w:color w:val="000000" w:themeColor="text1"/>
          <w:kern w:val="32"/>
          <w:sz w:val="32"/>
          <w:szCs w:val="32"/>
        </w:rPr>
      </w:pPr>
      <w:r>
        <w:rPr>
          <w:rFonts w:eastAsia="仿宋_GB2312"/>
          <w:b/>
          <w:color w:val="000000" w:themeColor="text1"/>
          <w:kern w:val="32"/>
          <w:sz w:val="32"/>
          <w:szCs w:val="32"/>
        </w:rPr>
        <w:t>绩效目标：</w:t>
      </w:r>
      <w:r>
        <w:rPr>
          <w:rFonts w:eastAsia="仿宋_GB2312"/>
          <w:color w:val="000000" w:themeColor="text1"/>
          <w:kern w:val="32"/>
          <w:sz w:val="32"/>
          <w:szCs w:val="32"/>
        </w:rPr>
        <w:t>通过开展巡回宣讲推动习近平新时代中国特色社会主义思想深入基层、深入人心，进一步推动党的路线方针政策和中央、省、市重大会议精神在基层落地生根。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adjustRightInd w:val="0"/>
        <w:snapToGrid w:val="0"/>
        <w:spacing w:line="584" w:lineRule="exact"/>
        <w:ind w:firstLine="643" w:firstLineChars="200"/>
        <w:rPr>
          <w:rFonts w:eastAsia="仿宋_GB2312"/>
          <w:color w:val="000000" w:themeColor="text1"/>
          <w:kern w:val="32"/>
          <w:sz w:val="32"/>
          <w:szCs w:val="32"/>
        </w:rPr>
      </w:pPr>
      <w:r>
        <w:rPr>
          <w:rFonts w:eastAsia="仿宋_GB2312"/>
          <w:b/>
          <w:color w:val="000000" w:themeColor="text1"/>
          <w:kern w:val="32"/>
          <w:sz w:val="32"/>
          <w:szCs w:val="32"/>
        </w:rPr>
        <w:t>绩效指标</w:t>
      </w:r>
      <w:r>
        <w:rPr>
          <w:rFonts w:hint="eastAsia" w:eastAsia="仿宋_GB2312"/>
          <w:b/>
          <w:color w:val="000000" w:themeColor="text1"/>
          <w:kern w:val="32"/>
          <w:sz w:val="32"/>
          <w:szCs w:val="32"/>
        </w:rPr>
        <w:t>：</w:t>
      </w:r>
      <w:r>
        <w:rPr>
          <w:rFonts w:eastAsia="仿宋_GB2312"/>
          <w:color w:val="000000" w:themeColor="text1"/>
          <w:kern w:val="32"/>
          <w:sz w:val="32"/>
          <w:szCs w:val="32"/>
        </w:rPr>
        <w:t>深入到全市各基层宣讲站开展巡回宣讲40场以上，受众人数达3000人以上。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adjustRightInd w:val="0"/>
        <w:snapToGrid w:val="0"/>
        <w:spacing w:line="584" w:lineRule="exact"/>
        <w:ind w:firstLine="643" w:firstLineChars="200"/>
        <w:rPr>
          <w:rFonts w:eastAsia="仿宋_GB2312"/>
          <w:b/>
          <w:bCs/>
          <w:color w:val="000000" w:themeColor="text1"/>
          <w:kern w:val="32"/>
          <w:sz w:val="32"/>
          <w:szCs w:val="32"/>
        </w:rPr>
      </w:pPr>
      <w:r>
        <w:rPr>
          <w:rFonts w:eastAsia="楷体_GB2312"/>
          <w:b/>
          <w:bCs/>
          <w:color w:val="000000" w:themeColor="text1"/>
          <w:kern w:val="32"/>
          <w:sz w:val="32"/>
          <w:szCs w:val="32"/>
        </w:rPr>
        <w:t>（</w:t>
      </w:r>
      <w:r>
        <w:rPr>
          <w:rFonts w:hint="eastAsia" w:eastAsia="楷体_GB2312"/>
          <w:b/>
          <w:bCs/>
          <w:color w:val="000000" w:themeColor="text1"/>
          <w:kern w:val="32"/>
          <w:sz w:val="32"/>
          <w:szCs w:val="32"/>
          <w:lang w:val="en-US" w:eastAsia="zh-CN"/>
        </w:rPr>
        <w:t>3</w:t>
      </w:r>
      <w:r>
        <w:rPr>
          <w:rFonts w:eastAsia="楷体_GB2312"/>
          <w:b/>
          <w:bCs/>
          <w:color w:val="000000" w:themeColor="text1"/>
          <w:kern w:val="32"/>
          <w:sz w:val="32"/>
          <w:szCs w:val="32"/>
        </w:rPr>
        <w:t>）加强党的路线方针政策的网络宣传</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adjustRightInd w:val="0"/>
        <w:snapToGrid w:val="0"/>
        <w:spacing w:line="584" w:lineRule="exact"/>
        <w:ind w:firstLine="643" w:firstLineChars="200"/>
        <w:rPr>
          <w:rFonts w:eastAsia="仿宋_GB2312"/>
          <w:color w:val="000000" w:themeColor="text1"/>
          <w:kern w:val="32"/>
          <w:sz w:val="32"/>
          <w:szCs w:val="32"/>
        </w:rPr>
      </w:pPr>
      <w:r>
        <w:rPr>
          <w:rFonts w:eastAsia="仿宋_GB2312"/>
          <w:b/>
          <w:bCs/>
          <w:color w:val="000000" w:themeColor="text1"/>
          <w:kern w:val="32"/>
          <w:sz w:val="32"/>
          <w:szCs w:val="32"/>
        </w:rPr>
        <w:t>绩效目标：</w:t>
      </w:r>
      <w:r>
        <w:rPr>
          <w:rFonts w:eastAsia="仿宋_GB2312"/>
          <w:color w:val="000000" w:themeColor="text1"/>
          <w:kern w:val="32"/>
          <w:sz w:val="32"/>
          <w:szCs w:val="32"/>
        </w:rPr>
        <w:t>将廊坊大讲堂打造为我市重要的网络学习园地，有效利用网站，宣传党的路线方针政策。</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adjustRightInd w:val="0"/>
        <w:snapToGrid w:val="0"/>
        <w:spacing w:line="584" w:lineRule="exact"/>
        <w:ind w:firstLine="643" w:firstLineChars="200"/>
        <w:rPr>
          <w:rFonts w:eastAsia="仿宋_GB2312"/>
          <w:color w:val="000000" w:themeColor="text1"/>
          <w:kern w:val="32"/>
          <w:sz w:val="32"/>
          <w:szCs w:val="32"/>
        </w:rPr>
      </w:pPr>
      <w:r>
        <w:rPr>
          <w:rFonts w:eastAsia="仿宋_GB2312"/>
          <w:b/>
          <w:bCs/>
          <w:color w:val="000000" w:themeColor="text1"/>
          <w:kern w:val="32"/>
          <w:sz w:val="32"/>
          <w:szCs w:val="32"/>
        </w:rPr>
        <w:t>绩效指标：</w:t>
      </w:r>
      <w:r>
        <w:rPr>
          <w:rFonts w:eastAsia="仿宋_GB2312"/>
          <w:color w:val="000000" w:themeColor="text1"/>
          <w:kern w:val="32"/>
          <w:sz w:val="32"/>
          <w:szCs w:val="32"/>
        </w:rPr>
        <w:t>廊坊大讲堂网站上传刊登市委中心学习组和全市理论宣传信息及图片6000条以上，网站点击量80000次以上，专人负责网站信息更新发布，保障网站运行的连续性、可靠性。</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adjustRightInd w:val="0"/>
        <w:snapToGrid w:val="0"/>
        <w:spacing w:line="584" w:lineRule="exact"/>
        <w:ind w:firstLine="643" w:firstLineChars="200"/>
        <w:rPr>
          <w:rFonts w:eastAsia="楷体_GB2312"/>
          <w:b/>
          <w:bCs/>
          <w:color w:val="000000" w:themeColor="text1"/>
          <w:kern w:val="32"/>
          <w:sz w:val="32"/>
          <w:szCs w:val="32"/>
        </w:rPr>
      </w:pPr>
      <w:r>
        <w:rPr>
          <w:rFonts w:eastAsia="楷体_GB2312"/>
          <w:b/>
          <w:bCs/>
          <w:color w:val="000000" w:themeColor="text1"/>
          <w:kern w:val="32"/>
          <w:sz w:val="32"/>
          <w:szCs w:val="32"/>
        </w:rPr>
        <w:t>（</w:t>
      </w:r>
      <w:r>
        <w:rPr>
          <w:rFonts w:hint="eastAsia" w:eastAsia="楷体_GB2312"/>
          <w:b/>
          <w:bCs/>
          <w:color w:val="000000" w:themeColor="text1"/>
          <w:kern w:val="32"/>
          <w:sz w:val="32"/>
          <w:szCs w:val="32"/>
          <w:lang w:val="en-US" w:eastAsia="zh-CN"/>
        </w:rPr>
        <w:t>4</w:t>
      </w:r>
      <w:r>
        <w:rPr>
          <w:rFonts w:eastAsia="楷体_GB2312"/>
          <w:b/>
          <w:bCs/>
          <w:color w:val="000000" w:themeColor="text1"/>
          <w:kern w:val="32"/>
          <w:sz w:val="32"/>
          <w:szCs w:val="32"/>
        </w:rPr>
        <w:t>）全面提升干部群众社科人文素质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adjustRightInd w:val="0"/>
        <w:snapToGrid w:val="0"/>
        <w:spacing w:line="584" w:lineRule="exact"/>
        <w:ind w:firstLine="643" w:firstLineChars="200"/>
        <w:rPr>
          <w:rFonts w:eastAsia="仿宋_GB2312"/>
          <w:color w:val="000000" w:themeColor="text1"/>
          <w:kern w:val="32"/>
          <w:sz w:val="32"/>
          <w:szCs w:val="32"/>
        </w:rPr>
      </w:pPr>
      <w:r>
        <w:rPr>
          <w:rFonts w:eastAsia="仿宋_GB2312"/>
          <w:b/>
          <w:bCs/>
          <w:color w:val="000000" w:themeColor="text1"/>
          <w:kern w:val="32"/>
          <w:sz w:val="32"/>
          <w:szCs w:val="32"/>
        </w:rPr>
        <w:t>绩效目标：</w:t>
      </w:r>
      <w:r>
        <w:rPr>
          <w:rFonts w:eastAsia="仿宋_GB2312"/>
          <w:color w:val="000000" w:themeColor="text1"/>
          <w:kern w:val="32"/>
          <w:sz w:val="32"/>
          <w:szCs w:val="32"/>
        </w:rPr>
        <w:t>通过举办社科普及活动，组织指导社科界有序开展社科宣传普及工作，提升全市广大干部群众社科人文素质，推动我市社科事业繁荣发展。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adjustRightInd w:val="0"/>
        <w:snapToGrid w:val="0"/>
        <w:spacing w:line="584" w:lineRule="exact"/>
        <w:ind w:firstLine="643" w:firstLineChars="200"/>
        <w:rPr>
          <w:rFonts w:eastAsia="仿宋_GB2312"/>
          <w:color w:val="000000" w:themeColor="text1"/>
          <w:kern w:val="32"/>
          <w:sz w:val="32"/>
          <w:szCs w:val="32"/>
        </w:rPr>
      </w:pPr>
      <w:r>
        <w:rPr>
          <w:rFonts w:eastAsia="仿宋_GB2312"/>
          <w:b/>
          <w:bCs/>
          <w:color w:val="000000" w:themeColor="text1"/>
          <w:kern w:val="32"/>
          <w:sz w:val="32"/>
          <w:szCs w:val="32"/>
        </w:rPr>
        <w:t>绩效指标：</w:t>
      </w:r>
      <w:r>
        <w:rPr>
          <w:rFonts w:eastAsia="仿宋_GB2312"/>
          <w:color w:val="000000" w:themeColor="text1"/>
          <w:kern w:val="32"/>
          <w:sz w:val="32"/>
          <w:szCs w:val="32"/>
        </w:rPr>
        <w:t>举办社科普及月、宣传普及教育活动4场次以上，提升全市社科普及的辐射力和影响力。提高社科普及宣传教育活动的内容质量，力争使全部教育活动在干部群众中的好评率达到90%以上。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adjustRightInd w:val="0"/>
        <w:snapToGrid w:val="0"/>
        <w:spacing w:line="584" w:lineRule="exact"/>
        <w:ind w:firstLine="643" w:firstLineChars="200"/>
        <w:rPr>
          <w:rFonts w:eastAsia="楷体_GB2312"/>
          <w:b/>
          <w:bCs/>
          <w:color w:val="000000" w:themeColor="text1"/>
          <w:kern w:val="32"/>
          <w:sz w:val="32"/>
          <w:szCs w:val="32"/>
        </w:rPr>
      </w:pPr>
      <w:r>
        <w:rPr>
          <w:rFonts w:eastAsia="楷体_GB2312"/>
          <w:b/>
          <w:bCs/>
          <w:color w:val="000000" w:themeColor="text1"/>
          <w:kern w:val="32"/>
          <w:sz w:val="32"/>
          <w:szCs w:val="32"/>
        </w:rPr>
        <w:t>（</w:t>
      </w:r>
      <w:r>
        <w:rPr>
          <w:rFonts w:hint="eastAsia" w:eastAsia="楷体_GB2312"/>
          <w:b/>
          <w:bCs/>
          <w:color w:val="000000" w:themeColor="text1"/>
          <w:kern w:val="32"/>
          <w:sz w:val="32"/>
          <w:szCs w:val="32"/>
          <w:lang w:val="en-US" w:eastAsia="zh-CN"/>
        </w:rPr>
        <w:t>5</w:t>
      </w:r>
      <w:r>
        <w:rPr>
          <w:rFonts w:eastAsia="楷体_GB2312"/>
          <w:b/>
          <w:bCs/>
          <w:color w:val="000000" w:themeColor="text1"/>
          <w:kern w:val="32"/>
          <w:sz w:val="32"/>
          <w:szCs w:val="32"/>
        </w:rPr>
        <w:t>）为宣讲工作提供有力日常保障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adjustRightInd w:val="0"/>
        <w:snapToGrid w:val="0"/>
        <w:spacing w:line="584" w:lineRule="exact"/>
        <w:ind w:firstLine="643" w:firstLineChars="200"/>
        <w:rPr>
          <w:rFonts w:eastAsia="仿宋_GB2312"/>
          <w:color w:val="000000" w:themeColor="text1"/>
          <w:kern w:val="32"/>
          <w:sz w:val="32"/>
          <w:szCs w:val="32"/>
        </w:rPr>
      </w:pPr>
      <w:r>
        <w:rPr>
          <w:rFonts w:eastAsia="仿宋_GB2312"/>
          <w:b/>
          <w:bCs/>
          <w:color w:val="000000" w:themeColor="text1"/>
          <w:kern w:val="32"/>
          <w:sz w:val="32"/>
          <w:szCs w:val="32"/>
        </w:rPr>
        <w:t>绩效目标：</w:t>
      </w:r>
      <w:r>
        <w:rPr>
          <w:rFonts w:eastAsia="仿宋_GB2312"/>
          <w:color w:val="000000" w:themeColor="text1"/>
          <w:kern w:val="32"/>
          <w:sz w:val="32"/>
          <w:szCs w:val="32"/>
        </w:rPr>
        <w:t>通过对日常活动经费的有效安排及控制，加强综合事务管理，保障机关工作正常有序进行。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adjustRightInd w:val="0"/>
        <w:snapToGrid w:val="0"/>
        <w:spacing w:line="584" w:lineRule="exact"/>
        <w:ind w:firstLine="643" w:firstLineChars="200"/>
        <w:rPr>
          <w:rFonts w:eastAsia="仿宋_GB2312"/>
          <w:color w:val="000000" w:themeColor="text1"/>
          <w:kern w:val="32"/>
          <w:sz w:val="32"/>
          <w:szCs w:val="32"/>
        </w:rPr>
      </w:pPr>
      <w:r>
        <w:rPr>
          <w:rFonts w:eastAsia="仿宋_GB2312"/>
          <w:b/>
          <w:bCs/>
          <w:color w:val="000000" w:themeColor="text1"/>
          <w:kern w:val="32"/>
          <w:sz w:val="32"/>
          <w:szCs w:val="32"/>
        </w:rPr>
        <w:t>绩效指标：</w:t>
      </w:r>
      <w:r>
        <w:rPr>
          <w:rFonts w:eastAsia="仿宋_GB2312"/>
          <w:color w:val="000000" w:themeColor="text1"/>
          <w:kern w:val="32"/>
          <w:sz w:val="32"/>
          <w:szCs w:val="32"/>
        </w:rPr>
        <w:t>计划召开100人以上宣讲员培训会议，以保障日常宣讲活动的正常需求；将每期杂志印刷成本控制在2.28万元以下、每本优秀成果汇编印刷成本控制在150元以下，在日常工作保质保量完成的基础上提高公用经费的使用效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adjustRightInd w:val="0"/>
        <w:snapToGrid w:val="0"/>
        <w:spacing w:line="584" w:lineRule="exact"/>
        <w:ind w:firstLine="643" w:firstLineChars="200"/>
        <w:rPr>
          <w:rFonts w:eastAsia="仿宋_GB2312"/>
          <w:color w:val="000000" w:themeColor="text1"/>
          <w:kern w:val="32"/>
          <w:sz w:val="32"/>
          <w:szCs w:val="32"/>
        </w:rPr>
      </w:pPr>
      <w:r>
        <w:rPr>
          <w:rFonts w:eastAsia="楷体_GB2312"/>
          <w:b/>
          <w:bCs/>
          <w:color w:val="000000" w:themeColor="text1"/>
          <w:kern w:val="32"/>
          <w:sz w:val="32"/>
          <w:szCs w:val="32"/>
        </w:rPr>
        <w:t>（</w:t>
      </w:r>
      <w:r>
        <w:rPr>
          <w:rFonts w:hint="eastAsia" w:eastAsia="楷体_GB2312"/>
          <w:b/>
          <w:bCs/>
          <w:color w:val="000000" w:themeColor="text1"/>
          <w:kern w:val="32"/>
          <w:sz w:val="32"/>
          <w:szCs w:val="32"/>
          <w:lang w:val="en-US" w:eastAsia="zh-CN"/>
        </w:rPr>
        <w:t>1</w:t>
      </w:r>
      <w:r>
        <w:rPr>
          <w:rFonts w:eastAsia="楷体_GB2312"/>
          <w:b/>
          <w:bCs/>
          <w:color w:val="000000" w:themeColor="text1"/>
          <w:kern w:val="32"/>
          <w:sz w:val="32"/>
          <w:szCs w:val="32"/>
        </w:rPr>
        <w:t>）完善制度建设。</w:t>
      </w:r>
      <w:r>
        <w:rPr>
          <w:rFonts w:eastAsia="仿宋_GB2312"/>
          <w:color w:val="000000" w:themeColor="text1"/>
          <w:kern w:val="32"/>
          <w:sz w:val="32"/>
          <w:szCs w:val="32"/>
        </w:rPr>
        <w:t>通过对2020年度工作审查及问题总结，制定完善预算绩效管理制度、资金管理办法、工作保障制度等规定措施，为全年预算绩效目标的实现奠定制度基础。</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adjustRightInd w:val="0"/>
        <w:snapToGrid w:val="0"/>
        <w:spacing w:line="584" w:lineRule="exact"/>
        <w:ind w:firstLine="643" w:firstLineChars="200"/>
        <w:rPr>
          <w:rFonts w:eastAsia="仿宋_GB2312"/>
          <w:color w:val="000000" w:themeColor="text1"/>
          <w:kern w:val="32"/>
          <w:sz w:val="32"/>
          <w:szCs w:val="32"/>
        </w:rPr>
      </w:pPr>
      <w:r>
        <w:rPr>
          <w:rFonts w:eastAsia="楷体_GB2312"/>
          <w:b/>
          <w:bCs/>
          <w:color w:val="000000" w:themeColor="text1"/>
          <w:kern w:val="32"/>
          <w:sz w:val="32"/>
          <w:szCs w:val="32"/>
        </w:rPr>
        <w:t>（</w:t>
      </w:r>
      <w:r>
        <w:rPr>
          <w:rFonts w:hint="eastAsia" w:eastAsia="楷体_GB2312"/>
          <w:b/>
          <w:bCs/>
          <w:color w:val="000000" w:themeColor="text1"/>
          <w:kern w:val="32"/>
          <w:sz w:val="32"/>
          <w:szCs w:val="32"/>
          <w:lang w:val="en-US" w:eastAsia="zh-CN"/>
        </w:rPr>
        <w:t>2</w:t>
      </w:r>
      <w:r>
        <w:rPr>
          <w:rFonts w:eastAsia="楷体_GB2312"/>
          <w:b/>
          <w:bCs/>
          <w:color w:val="000000" w:themeColor="text1"/>
          <w:kern w:val="32"/>
          <w:sz w:val="32"/>
          <w:szCs w:val="32"/>
        </w:rPr>
        <w:t>）加强支出管理。</w:t>
      </w:r>
      <w:r>
        <w:rPr>
          <w:rFonts w:eastAsia="仿宋_GB2312"/>
          <w:color w:val="000000" w:themeColor="text1"/>
          <w:kern w:val="32"/>
          <w:sz w:val="32"/>
          <w:szCs w:val="32"/>
        </w:rPr>
        <w:t>结合部门本年度工作计划，通过优化支出结构、编细编实预算、加快履行政府采购手续、尽快启动项目、及时支付资金、按规定及时下达资金等多种措施，确保支出进度达标。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adjustRightInd w:val="0"/>
        <w:snapToGrid w:val="0"/>
        <w:spacing w:line="584" w:lineRule="exact"/>
        <w:ind w:firstLine="643" w:firstLineChars="200"/>
        <w:rPr>
          <w:rFonts w:eastAsia="仿宋_GB2312"/>
          <w:color w:val="000000" w:themeColor="text1"/>
          <w:kern w:val="32"/>
          <w:sz w:val="32"/>
          <w:szCs w:val="32"/>
        </w:rPr>
      </w:pPr>
      <w:r>
        <w:rPr>
          <w:rFonts w:eastAsia="楷体_GB2312"/>
          <w:b/>
          <w:bCs/>
          <w:color w:val="000000" w:themeColor="text1"/>
          <w:kern w:val="32"/>
          <w:sz w:val="32"/>
          <w:szCs w:val="32"/>
        </w:rPr>
        <w:t>（</w:t>
      </w:r>
      <w:r>
        <w:rPr>
          <w:rFonts w:hint="eastAsia" w:eastAsia="楷体_GB2312"/>
          <w:b/>
          <w:bCs/>
          <w:color w:val="000000" w:themeColor="text1"/>
          <w:kern w:val="32"/>
          <w:sz w:val="32"/>
          <w:szCs w:val="32"/>
          <w:lang w:val="en-US" w:eastAsia="zh-CN"/>
        </w:rPr>
        <w:t>3</w:t>
      </w:r>
      <w:r>
        <w:rPr>
          <w:rFonts w:eastAsia="楷体_GB2312"/>
          <w:b/>
          <w:bCs/>
          <w:color w:val="000000" w:themeColor="text1"/>
          <w:kern w:val="32"/>
          <w:sz w:val="32"/>
          <w:szCs w:val="32"/>
        </w:rPr>
        <w:t>）加强绩效运行监控。</w:t>
      </w:r>
      <w:r>
        <w:rPr>
          <w:rFonts w:eastAsia="仿宋_GB2312"/>
          <w:color w:val="000000" w:themeColor="text1"/>
          <w:kern w:val="32"/>
          <w:sz w:val="32"/>
          <w:szCs w:val="32"/>
        </w:rPr>
        <w:t>根据财政局预算绩效办文件，按要求开展绩效运行监控，发现问题及时采取措施，确保绩效目标如期保质实现。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adjustRightInd w:val="0"/>
        <w:snapToGrid w:val="0"/>
        <w:spacing w:line="584" w:lineRule="exact"/>
        <w:ind w:firstLine="643" w:firstLineChars="200"/>
        <w:rPr>
          <w:rFonts w:eastAsia="仿宋_GB2312"/>
          <w:color w:val="000000" w:themeColor="text1"/>
          <w:kern w:val="32"/>
          <w:sz w:val="32"/>
          <w:szCs w:val="32"/>
        </w:rPr>
      </w:pPr>
      <w:r>
        <w:rPr>
          <w:rFonts w:eastAsia="楷体_GB2312"/>
          <w:b/>
          <w:bCs/>
          <w:color w:val="000000" w:themeColor="text1"/>
          <w:kern w:val="32"/>
          <w:sz w:val="32"/>
          <w:szCs w:val="32"/>
        </w:rPr>
        <w:t>（</w:t>
      </w:r>
      <w:r>
        <w:rPr>
          <w:rFonts w:hint="eastAsia" w:eastAsia="楷体_GB2312"/>
          <w:b/>
          <w:bCs/>
          <w:color w:val="000000" w:themeColor="text1"/>
          <w:kern w:val="32"/>
          <w:sz w:val="32"/>
          <w:szCs w:val="32"/>
          <w:lang w:val="en-US" w:eastAsia="zh-CN"/>
        </w:rPr>
        <w:t>4</w:t>
      </w:r>
      <w:r>
        <w:rPr>
          <w:rFonts w:eastAsia="楷体_GB2312"/>
          <w:b/>
          <w:bCs/>
          <w:color w:val="000000" w:themeColor="text1"/>
          <w:kern w:val="32"/>
          <w:sz w:val="32"/>
          <w:szCs w:val="32"/>
        </w:rPr>
        <w:t>）做好绩效自评。</w:t>
      </w:r>
      <w:r>
        <w:rPr>
          <w:rFonts w:eastAsia="仿宋_GB2312"/>
          <w:color w:val="000000" w:themeColor="text1"/>
          <w:kern w:val="32"/>
          <w:sz w:val="32"/>
          <w:szCs w:val="32"/>
        </w:rPr>
        <w:t>在2020年工作总结的基础上，按要求开展上年度部门预算绩效自评和重点评价工作，对评价中发现的问题及时整改，调整优化支出结构，提高财政资金使用效益。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adjustRightInd w:val="0"/>
        <w:snapToGrid w:val="0"/>
        <w:spacing w:line="584" w:lineRule="exact"/>
        <w:ind w:firstLine="643" w:firstLineChars="200"/>
        <w:rPr>
          <w:rFonts w:eastAsia="仿宋_GB2312"/>
          <w:color w:val="000000" w:themeColor="text1"/>
          <w:kern w:val="32"/>
          <w:sz w:val="32"/>
          <w:szCs w:val="32"/>
        </w:rPr>
      </w:pPr>
      <w:r>
        <w:rPr>
          <w:rFonts w:eastAsia="楷体_GB2312"/>
          <w:b/>
          <w:bCs/>
          <w:color w:val="000000" w:themeColor="text1"/>
          <w:kern w:val="32"/>
          <w:sz w:val="32"/>
          <w:szCs w:val="32"/>
        </w:rPr>
        <w:t>（</w:t>
      </w:r>
      <w:r>
        <w:rPr>
          <w:rFonts w:hint="eastAsia" w:eastAsia="楷体_GB2312"/>
          <w:b/>
          <w:bCs/>
          <w:color w:val="000000" w:themeColor="text1"/>
          <w:kern w:val="32"/>
          <w:sz w:val="32"/>
          <w:szCs w:val="32"/>
          <w:lang w:val="en-US" w:eastAsia="zh-CN"/>
        </w:rPr>
        <w:t>5</w:t>
      </w:r>
      <w:r>
        <w:rPr>
          <w:rFonts w:eastAsia="楷体_GB2312"/>
          <w:b/>
          <w:bCs/>
          <w:color w:val="000000" w:themeColor="text1"/>
          <w:kern w:val="32"/>
          <w:sz w:val="32"/>
          <w:szCs w:val="32"/>
        </w:rPr>
        <w:t>）规范财务资产管理。</w:t>
      </w:r>
      <w:r>
        <w:rPr>
          <w:rFonts w:eastAsia="仿宋_GB2312"/>
          <w:color w:val="000000" w:themeColor="text1"/>
          <w:kern w:val="32"/>
          <w:sz w:val="32"/>
          <w:szCs w:val="32"/>
        </w:rPr>
        <w:t>为了规范资产管理，努力完善财务管理制度，严格审批程序，加强固定资产登记、使用和报废处置管理，做到支出合理，物尽其用。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adjustRightInd w:val="0"/>
        <w:snapToGrid w:val="0"/>
        <w:spacing w:line="584" w:lineRule="exact"/>
        <w:ind w:firstLine="643" w:firstLineChars="200"/>
        <w:rPr>
          <w:rFonts w:eastAsia="仿宋_GB2312"/>
          <w:color w:val="000000" w:themeColor="text1"/>
          <w:kern w:val="32"/>
          <w:sz w:val="32"/>
          <w:szCs w:val="32"/>
        </w:rPr>
      </w:pPr>
      <w:r>
        <w:rPr>
          <w:rFonts w:eastAsia="楷体_GB2312"/>
          <w:b/>
          <w:bCs/>
          <w:color w:val="000000" w:themeColor="text1"/>
          <w:kern w:val="32"/>
          <w:sz w:val="32"/>
          <w:szCs w:val="32"/>
        </w:rPr>
        <w:t>（</w:t>
      </w:r>
      <w:r>
        <w:rPr>
          <w:rFonts w:hint="eastAsia" w:eastAsia="楷体_GB2312"/>
          <w:b/>
          <w:bCs/>
          <w:color w:val="000000" w:themeColor="text1"/>
          <w:kern w:val="32"/>
          <w:sz w:val="32"/>
          <w:szCs w:val="32"/>
          <w:lang w:val="en-US" w:eastAsia="zh-CN"/>
        </w:rPr>
        <w:t>6</w:t>
      </w:r>
      <w:r>
        <w:rPr>
          <w:rFonts w:eastAsia="楷体_GB2312"/>
          <w:b/>
          <w:bCs/>
          <w:color w:val="000000" w:themeColor="text1"/>
          <w:kern w:val="32"/>
          <w:sz w:val="32"/>
          <w:szCs w:val="32"/>
        </w:rPr>
        <w:t>）加强内部监督。</w:t>
      </w:r>
      <w:r>
        <w:rPr>
          <w:rFonts w:eastAsia="仿宋_GB2312"/>
          <w:color w:val="000000" w:themeColor="text1"/>
          <w:kern w:val="32"/>
          <w:sz w:val="32"/>
          <w:szCs w:val="32"/>
        </w:rPr>
        <w:t>为了完善工作监管机制，加强内部监督制度建设，对绩效运行情况、重大支出决策、资产处置及其他重要经济业务事项的决策和执行进行督导，对会计资料进行内部审计，并配合做好审计、财政监督等外部监督工作，确保财政资金安全有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adjustRightInd w:val="0"/>
        <w:snapToGrid w:val="0"/>
        <w:spacing w:line="584" w:lineRule="exact"/>
        <w:ind w:firstLine="643" w:firstLineChars="200"/>
        <w:rPr>
          <w:rFonts w:eastAsia="仿宋_GB2312"/>
          <w:color w:val="000000" w:themeColor="text1"/>
          <w:kern w:val="32"/>
          <w:sz w:val="32"/>
          <w:szCs w:val="32"/>
        </w:rPr>
      </w:pPr>
      <w:r>
        <w:rPr>
          <w:rFonts w:eastAsia="楷体_GB2312"/>
          <w:b/>
          <w:bCs/>
          <w:color w:val="000000" w:themeColor="text1"/>
          <w:kern w:val="32"/>
          <w:sz w:val="32"/>
          <w:szCs w:val="32"/>
        </w:rPr>
        <w:t>（</w:t>
      </w:r>
      <w:r>
        <w:rPr>
          <w:rFonts w:hint="eastAsia" w:eastAsia="楷体_GB2312"/>
          <w:b/>
          <w:bCs/>
          <w:color w:val="000000" w:themeColor="text1"/>
          <w:kern w:val="32"/>
          <w:sz w:val="32"/>
          <w:szCs w:val="32"/>
          <w:lang w:val="en-US" w:eastAsia="zh-CN"/>
        </w:rPr>
        <w:t>7</w:t>
      </w:r>
      <w:r>
        <w:rPr>
          <w:rFonts w:eastAsia="楷体_GB2312"/>
          <w:b/>
          <w:bCs/>
          <w:color w:val="000000" w:themeColor="text1"/>
          <w:kern w:val="32"/>
          <w:sz w:val="32"/>
          <w:szCs w:val="32"/>
        </w:rPr>
        <w:t>）加强宣传培训调研等。</w:t>
      </w:r>
      <w:r>
        <w:rPr>
          <w:rFonts w:eastAsia="仿宋_GB2312"/>
          <w:color w:val="000000" w:themeColor="text1"/>
          <w:kern w:val="32"/>
          <w:sz w:val="32"/>
          <w:szCs w:val="32"/>
        </w:rPr>
        <w:t>为了切实提高工作质量，加强人员培训，提高本部门职工业务素质；加强调研，提出优化财政资金配置、提高资金使用效益的意见；加大宣传力度，强化预算绩效管理意识，促进预算绩效管理水平进一步提升。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adjustRightInd w:val="0"/>
        <w:snapToGrid w:val="0"/>
        <w:spacing w:line="584" w:lineRule="exact"/>
        <w:ind w:firstLine="643" w:firstLineChars="200"/>
        <w:rPr>
          <w:rFonts w:hint="eastAsia"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9113" w:type="dxa"/>
        <w:jc w:val="center"/>
        <w:tblInd w:w="-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476"/>
        <w:gridCol w:w="672"/>
        <w:gridCol w:w="910"/>
        <w:gridCol w:w="2142"/>
        <w:gridCol w:w="2015"/>
        <w:gridCol w:w="490"/>
        <w:gridCol w:w="602"/>
        <w:gridCol w:w="518"/>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blHeader/>
          <w:jc w:val="center"/>
        </w:trPr>
        <w:tc>
          <w:tcPr>
            <w:tcW w:w="476" w:type="dxa"/>
            <w:vMerge w:val="restart"/>
            <w:shd w:val="clear" w:color="auto" w:fill="auto"/>
            <w:vAlign w:val="center"/>
          </w:tcPr>
          <w:p>
            <w:pPr>
              <w:widowControl/>
              <w:adjustRightInd w:val="0"/>
              <w:snapToGrid w:val="0"/>
              <w:jc w:val="center"/>
              <w:rPr>
                <w:rFonts w:ascii="黑体" w:hAnsi="黑体" w:eastAsia="黑体"/>
                <w:color w:val="000000" w:themeColor="text1"/>
                <w:kern w:val="0"/>
                <w:szCs w:val="21"/>
              </w:rPr>
            </w:pPr>
            <w:r>
              <w:rPr>
                <w:rFonts w:ascii="黑体" w:hAnsi="黑体" w:eastAsia="黑体"/>
                <w:color w:val="000000" w:themeColor="text1"/>
                <w:kern w:val="0"/>
                <w:szCs w:val="21"/>
              </w:rPr>
              <w:t>一级</w:t>
            </w:r>
          </w:p>
          <w:p>
            <w:pPr>
              <w:widowControl/>
              <w:adjustRightInd w:val="0"/>
              <w:snapToGrid w:val="0"/>
              <w:jc w:val="center"/>
              <w:rPr>
                <w:rFonts w:ascii="黑体" w:hAnsi="黑体" w:eastAsia="黑体"/>
                <w:color w:val="000000" w:themeColor="text1"/>
                <w:kern w:val="0"/>
                <w:szCs w:val="21"/>
              </w:rPr>
            </w:pPr>
            <w:r>
              <w:rPr>
                <w:rFonts w:ascii="黑体" w:hAnsi="黑体" w:eastAsia="黑体"/>
                <w:color w:val="000000" w:themeColor="text1"/>
                <w:kern w:val="0"/>
                <w:szCs w:val="21"/>
              </w:rPr>
              <w:t>指标</w:t>
            </w:r>
          </w:p>
        </w:tc>
        <w:tc>
          <w:tcPr>
            <w:tcW w:w="672" w:type="dxa"/>
            <w:vMerge w:val="restart"/>
            <w:shd w:val="clear" w:color="auto" w:fill="auto"/>
            <w:vAlign w:val="center"/>
          </w:tcPr>
          <w:p>
            <w:pPr>
              <w:widowControl/>
              <w:adjustRightInd w:val="0"/>
              <w:snapToGrid w:val="0"/>
              <w:jc w:val="center"/>
              <w:rPr>
                <w:rFonts w:ascii="黑体" w:hAnsi="黑体" w:eastAsia="黑体"/>
                <w:color w:val="000000" w:themeColor="text1"/>
                <w:kern w:val="0"/>
                <w:szCs w:val="21"/>
              </w:rPr>
            </w:pPr>
            <w:r>
              <w:rPr>
                <w:rFonts w:ascii="黑体" w:hAnsi="黑体" w:eastAsia="黑体"/>
                <w:color w:val="000000" w:themeColor="text1"/>
                <w:kern w:val="0"/>
                <w:szCs w:val="21"/>
              </w:rPr>
              <w:t>二级</w:t>
            </w:r>
          </w:p>
          <w:p>
            <w:pPr>
              <w:widowControl/>
              <w:adjustRightInd w:val="0"/>
              <w:snapToGrid w:val="0"/>
              <w:jc w:val="center"/>
              <w:rPr>
                <w:rFonts w:ascii="黑体" w:hAnsi="黑体" w:eastAsia="黑体"/>
                <w:color w:val="000000" w:themeColor="text1"/>
                <w:kern w:val="0"/>
                <w:szCs w:val="21"/>
              </w:rPr>
            </w:pPr>
            <w:r>
              <w:rPr>
                <w:rFonts w:ascii="黑体" w:hAnsi="黑体" w:eastAsia="黑体"/>
                <w:color w:val="000000" w:themeColor="text1"/>
                <w:kern w:val="0"/>
                <w:szCs w:val="21"/>
              </w:rPr>
              <w:t>指标</w:t>
            </w:r>
          </w:p>
        </w:tc>
        <w:tc>
          <w:tcPr>
            <w:tcW w:w="910" w:type="dxa"/>
            <w:vMerge w:val="restart"/>
            <w:shd w:val="clear" w:color="auto" w:fill="auto"/>
            <w:vAlign w:val="center"/>
          </w:tcPr>
          <w:p>
            <w:pPr>
              <w:widowControl/>
              <w:adjustRightInd w:val="0"/>
              <w:snapToGrid w:val="0"/>
              <w:jc w:val="center"/>
              <w:rPr>
                <w:rFonts w:ascii="黑体" w:hAnsi="黑体" w:eastAsia="黑体"/>
                <w:color w:val="000000" w:themeColor="text1"/>
                <w:kern w:val="0"/>
                <w:szCs w:val="21"/>
              </w:rPr>
            </w:pPr>
            <w:r>
              <w:rPr>
                <w:rFonts w:ascii="黑体" w:hAnsi="黑体" w:eastAsia="黑体"/>
                <w:color w:val="000000" w:themeColor="text1"/>
                <w:kern w:val="0"/>
                <w:szCs w:val="21"/>
              </w:rPr>
              <w:t>三级</w:t>
            </w:r>
          </w:p>
          <w:p>
            <w:pPr>
              <w:widowControl/>
              <w:adjustRightInd w:val="0"/>
              <w:snapToGrid w:val="0"/>
              <w:jc w:val="center"/>
              <w:rPr>
                <w:rFonts w:ascii="黑体" w:hAnsi="黑体" w:eastAsia="黑体"/>
                <w:color w:val="000000" w:themeColor="text1"/>
                <w:kern w:val="0"/>
                <w:szCs w:val="21"/>
              </w:rPr>
            </w:pPr>
            <w:r>
              <w:rPr>
                <w:rFonts w:ascii="黑体" w:hAnsi="黑体" w:eastAsia="黑体"/>
                <w:color w:val="000000" w:themeColor="text1"/>
                <w:kern w:val="0"/>
                <w:szCs w:val="21"/>
              </w:rPr>
              <w:t>指标</w:t>
            </w:r>
          </w:p>
        </w:tc>
        <w:tc>
          <w:tcPr>
            <w:tcW w:w="2142" w:type="dxa"/>
            <w:vMerge w:val="restart"/>
            <w:shd w:val="clear" w:color="auto" w:fill="auto"/>
            <w:vAlign w:val="center"/>
          </w:tcPr>
          <w:p>
            <w:pPr>
              <w:widowControl/>
              <w:adjustRightInd w:val="0"/>
              <w:snapToGrid w:val="0"/>
              <w:jc w:val="center"/>
              <w:rPr>
                <w:rFonts w:ascii="黑体" w:hAnsi="黑体" w:eastAsia="黑体"/>
                <w:color w:val="000000" w:themeColor="text1"/>
                <w:kern w:val="0"/>
                <w:szCs w:val="21"/>
              </w:rPr>
            </w:pPr>
            <w:r>
              <w:rPr>
                <w:rFonts w:ascii="黑体" w:hAnsi="黑体" w:eastAsia="黑体"/>
                <w:color w:val="000000" w:themeColor="text1"/>
                <w:kern w:val="0"/>
                <w:szCs w:val="21"/>
              </w:rPr>
              <w:t>评（扣）分标准</w:t>
            </w:r>
          </w:p>
        </w:tc>
        <w:tc>
          <w:tcPr>
            <w:tcW w:w="2015" w:type="dxa"/>
            <w:vMerge w:val="restart"/>
            <w:shd w:val="clear" w:color="auto" w:fill="auto"/>
            <w:vAlign w:val="center"/>
          </w:tcPr>
          <w:p>
            <w:pPr>
              <w:widowControl/>
              <w:adjustRightInd w:val="0"/>
              <w:snapToGrid w:val="0"/>
              <w:jc w:val="center"/>
              <w:rPr>
                <w:rFonts w:ascii="黑体" w:hAnsi="黑体" w:eastAsia="黑体"/>
                <w:color w:val="000000" w:themeColor="text1"/>
                <w:kern w:val="0"/>
                <w:szCs w:val="21"/>
              </w:rPr>
            </w:pPr>
            <w:r>
              <w:rPr>
                <w:rFonts w:ascii="黑体" w:hAnsi="黑体" w:eastAsia="黑体"/>
                <w:color w:val="000000" w:themeColor="text1"/>
                <w:kern w:val="0"/>
                <w:szCs w:val="21"/>
              </w:rPr>
              <w:t>绩效指标</w:t>
            </w:r>
          </w:p>
          <w:p>
            <w:pPr>
              <w:widowControl/>
              <w:adjustRightInd w:val="0"/>
              <w:snapToGrid w:val="0"/>
              <w:jc w:val="center"/>
              <w:rPr>
                <w:rFonts w:ascii="黑体" w:hAnsi="黑体" w:eastAsia="黑体"/>
                <w:color w:val="000000" w:themeColor="text1"/>
                <w:kern w:val="0"/>
                <w:szCs w:val="21"/>
              </w:rPr>
            </w:pPr>
            <w:r>
              <w:rPr>
                <w:rFonts w:ascii="黑体" w:hAnsi="黑体" w:eastAsia="黑体"/>
                <w:color w:val="000000" w:themeColor="text1"/>
                <w:kern w:val="0"/>
                <w:szCs w:val="21"/>
              </w:rPr>
              <w:t>描述</w:t>
            </w:r>
          </w:p>
        </w:tc>
        <w:tc>
          <w:tcPr>
            <w:tcW w:w="1610" w:type="dxa"/>
            <w:gridSpan w:val="3"/>
            <w:shd w:val="clear" w:color="auto" w:fill="auto"/>
            <w:vAlign w:val="center"/>
          </w:tcPr>
          <w:p>
            <w:pPr>
              <w:widowControl/>
              <w:adjustRightInd w:val="0"/>
              <w:snapToGrid w:val="0"/>
              <w:jc w:val="center"/>
              <w:rPr>
                <w:rFonts w:ascii="黑体" w:hAnsi="黑体" w:eastAsia="黑体"/>
                <w:color w:val="000000" w:themeColor="text1"/>
                <w:kern w:val="0"/>
                <w:szCs w:val="21"/>
              </w:rPr>
            </w:pPr>
            <w:r>
              <w:rPr>
                <w:rFonts w:ascii="黑体" w:hAnsi="黑体" w:eastAsia="黑体"/>
                <w:color w:val="000000" w:themeColor="text1"/>
                <w:kern w:val="0"/>
                <w:szCs w:val="21"/>
              </w:rPr>
              <w:t>指标值</w:t>
            </w:r>
          </w:p>
        </w:tc>
        <w:tc>
          <w:tcPr>
            <w:tcW w:w="1288" w:type="dxa"/>
            <w:vMerge w:val="restart"/>
            <w:shd w:val="clear" w:color="auto" w:fill="auto"/>
            <w:vAlign w:val="center"/>
          </w:tcPr>
          <w:p>
            <w:pPr>
              <w:widowControl/>
              <w:adjustRightInd w:val="0"/>
              <w:snapToGrid w:val="0"/>
              <w:jc w:val="center"/>
              <w:rPr>
                <w:rFonts w:ascii="黑体" w:hAnsi="黑体" w:eastAsia="黑体"/>
                <w:color w:val="000000" w:themeColor="text1"/>
                <w:kern w:val="0"/>
                <w:szCs w:val="21"/>
              </w:rPr>
            </w:pPr>
            <w:r>
              <w:rPr>
                <w:rFonts w:ascii="黑体" w:hAnsi="黑体" w:eastAsia="黑体"/>
                <w:color w:val="000000" w:themeColor="text1"/>
                <w:kern w:val="0"/>
                <w:szCs w:val="21"/>
              </w:rPr>
              <w:t>指标值</w:t>
            </w:r>
          </w:p>
          <w:p>
            <w:pPr>
              <w:widowControl/>
              <w:adjustRightInd w:val="0"/>
              <w:snapToGrid w:val="0"/>
              <w:jc w:val="center"/>
              <w:rPr>
                <w:rFonts w:ascii="黑体" w:hAnsi="黑体" w:eastAsia="黑体"/>
                <w:color w:val="000000" w:themeColor="text1"/>
                <w:kern w:val="0"/>
                <w:szCs w:val="21"/>
              </w:rPr>
            </w:pPr>
            <w:r>
              <w:rPr>
                <w:rFonts w:ascii="黑体" w:hAnsi="黑体" w:eastAsia="黑体"/>
                <w:color w:val="000000" w:themeColor="text1"/>
                <w:kern w:val="0"/>
                <w:szCs w:val="21"/>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blHeader/>
          <w:jc w:val="center"/>
        </w:trPr>
        <w:tc>
          <w:tcPr>
            <w:tcW w:w="476" w:type="dxa"/>
            <w:vMerge w:val="continue"/>
            <w:shd w:val="clear" w:color="auto" w:fill="auto"/>
            <w:vAlign w:val="center"/>
          </w:tcPr>
          <w:p>
            <w:pPr>
              <w:keepNext/>
              <w:keepLines/>
              <w:adjustRightInd w:val="0"/>
              <w:snapToGrid w:val="0"/>
              <w:jc w:val="center"/>
              <w:rPr>
                <w:rFonts w:eastAsia="仿宋_GB2312"/>
                <w:color w:val="000000" w:themeColor="text1"/>
                <w:szCs w:val="21"/>
              </w:rPr>
            </w:pPr>
          </w:p>
        </w:tc>
        <w:tc>
          <w:tcPr>
            <w:tcW w:w="672" w:type="dxa"/>
            <w:vMerge w:val="continue"/>
            <w:shd w:val="clear" w:color="auto" w:fill="auto"/>
            <w:vAlign w:val="center"/>
          </w:tcPr>
          <w:p>
            <w:pPr>
              <w:keepNext/>
              <w:keepLines/>
              <w:adjustRightInd w:val="0"/>
              <w:snapToGrid w:val="0"/>
              <w:jc w:val="center"/>
              <w:rPr>
                <w:rFonts w:eastAsia="仿宋_GB2312"/>
                <w:color w:val="000000" w:themeColor="text1"/>
                <w:szCs w:val="21"/>
              </w:rPr>
            </w:pPr>
          </w:p>
        </w:tc>
        <w:tc>
          <w:tcPr>
            <w:tcW w:w="910" w:type="dxa"/>
            <w:vMerge w:val="continue"/>
            <w:shd w:val="clear" w:color="auto" w:fill="auto"/>
            <w:vAlign w:val="center"/>
          </w:tcPr>
          <w:p>
            <w:pPr>
              <w:keepNext/>
              <w:keepLines/>
              <w:adjustRightInd w:val="0"/>
              <w:snapToGrid w:val="0"/>
              <w:rPr>
                <w:rFonts w:eastAsia="仿宋_GB2312"/>
                <w:color w:val="000000" w:themeColor="text1"/>
                <w:szCs w:val="21"/>
              </w:rPr>
            </w:pPr>
          </w:p>
        </w:tc>
        <w:tc>
          <w:tcPr>
            <w:tcW w:w="2142" w:type="dxa"/>
            <w:vMerge w:val="continue"/>
            <w:shd w:val="clear" w:color="auto" w:fill="auto"/>
            <w:vAlign w:val="center"/>
          </w:tcPr>
          <w:p>
            <w:pPr>
              <w:keepNext/>
              <w:keepLines/>
              <w:widowControl/>
              <w:adjustRightInd w:val="0"/>
              <w:snapToGrid w:val="0"/>
              <w:rPr>
                <w:rFonts w:eastAsia="仿宋_GB2312"/>
                <w:color w:val="000000" w:themeColor="text1"/>
                <w:kern w:val="0"/>
                <w:szCs w:val="21"/>
              </w:rPr>
            </w:pPr>
          </w:p>
        </w:tc>
        <w:tc>
          <w:tcPr>
            <w:tcW w:w="2015" w:type="dxa"/>
            <w:vMerge w:val="continue"/>
            <w:shd w:val="clear" w:color="auto" w:fill="auto"/>
            <w:vAlign w:val="center"/>
          </w:tcPr>
          <w:p>
            <w:pPr>
              <w:keepNext/>
              <w:keepLines/>
              <w:widowControl/>
              <w:adjustRightInd w:val="0"/>
              <w:snapToGrid w:val="0"/>
              <w:rPr>
                <w:rFonts w:eastAsia="仿宋_GB2312"/>
                <w:color w:val="000000" w:themeColor="text1"/>
                <w:kern w:val="0"/>
                <w:szCs w:val="21"/>
              </w:rPr>
            </w:pPr>
          </w:p>
        </w:tc>
        <w:tc>
          <w:tcPr>
            <w:tcW w:w="490" w:type="dxa"/>
            <w:shd w:val="clear" w:color="auto" w:fill="auto"/>
            <w:vAlign w:val="center"/>
          </w:tcPr>
          <w:p>
            <w:pPr>
              <w:widowControl/>
              <w:adjustRightInd w:val="0"/>
              <w:snapToGrid w:val="0"/>
              <w:jc w:val="center"/>
              <w:rPr>
                <w:rFonts w:ascii="黑体" w:hAnsi="黑体" w:eastAsia="黑体"/>
                <w:color w:val="000000" w:themeColor="text1"/>
                <w:kern w:val="0"/>
                <w:szCs w:val="21"/>
              </w:rPr>
            </w:pPr>
            <w:r>
              <w:rPr>
                <w:rFonts w:ascii="黑体" w:hAnsi="黑体" w:eastAsia="黑体"/>
                <w:color w:val="000000" w:themeColor="text1"/>
                <w:kern w:val="0"/>
                <w:szCs w:val="21"/>
              </w:rPr>
              <w:t>符号</w:t>
            </w:r>
          </w:p>
        </w:tc>
        <w:tc>
          <w:tcPr>
            <w:tcW w:w="602" w:type="dxa"/>
            <w:shd w:val="clear" w:color="auto" w:fill="auto"/>
            <w:vAlign w:val="center"/>
          </w:tcPr>
          <w:p>
            <w:pPr>
              <w:widowControl/>
              <w:adjustRightInd w:val="0"/>
              <w:snapToGrid w:val="0"/>
              <w:jc w:val="center"/>
              <w:rPr>
                <w:rFonts w:ascii="黑体" w:hAnsi="黑体" w:eastAsia="黑体"/>
                <w:color w:val="000000" w:themeColor="text1"/>
                <w:kern w:val="0"/>
                <w:szCs w:val="21"/>
              </w:rPr>
            </w:pPr>
            <w:r>
              <w:rPr>
                <w:rFonts w:ascii="黑体" w:hAnsi="黑体" w:eastAsia="黑体"/>
                <w:color w:val="000000" w:themeColor="text1"/>
                <w:kern w:val="0"/>
                <w:szCs w:val="21"/>
              </w:rPr>
              <w:t>值</w:t>
            </w:r>
          </w:p>
        </w:tc>
        <w:tc>
          <w:tcPr>
            <w:tcW w:w="518" w:type="dxa"/>
            <w:shd w:val="clear" w:color="auto" w:fill="auto"/>
            <w:vAlign w:val="center"/>
          </w:tcPr>
          <w:p>
            <w:pPr>
              <w:widowControl/>
              <w:adjustRightInd w:val="0"/>
              <w:snapToGrid w:val="0"/>
              <w:jc w:val="center"/>
              <w:rPr>
                <w:rFonts w:ascii="黑体" w:hAnsi="黑体" w:eastAsia="黑体"/>
                <w:color w:val="000000" w:themeColor="text1"/>
                <w:kern w:val="0"/>
                <w:szCs w:val="21"/>
              </w:rPr>
            </w:pPr>
            <w:r>
              <w:rPr>
                <w:rFonts w:ascii="黑体" w:hAnsi="黑体" w:eastAsia="黑体"/>
                <w:color w:val="000000" w:themeColor="text1"/>
                <w:kern w:val="0"/>
                <w:szCs w:val="21"/>
              </w:rPr>
              <w:t>单位</w:t>
            </w:r>
          </w:p>
        </w:tc>
        <w:tc>
          <w:tcPr>
            <w:tcW w:w="1288" w:type="dxa"/>
            <w:vMerge w:val="continue"/>
            <w:shd w:val="clear" w:color="auto" w:fill="auto"/>
            <w:vAlign w:val="center"/>
          </w:tcPr>
          <w:p>
            <w:pPr>
              <w:keepNext/>
              <w:keepLines/>
              <w:widowControl/>
              <w:adjustRightInd w:val="0"/>
              <w:snapToGrid w:val="0"/>
              <w:rPr>
                <w:rFonts w:eastAsia="仿宋_GB2312"/>
                <w:color w:val="000000" w:themeColor="text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jc w:val="center"/>
        </w:trPr>
        <w:tc>
          <w:tcPr>
            <w:tcW w:w="476" w:type="dxa"/>
            <w:vMerge w:val="restart"/>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部门产出</w:t>
            </w:r>
          </w:p>
        </w:tc>
        <w:tc>
          <w:tcPr>
            <w:tcW w:w="672" w:type="dxa"/>
            <w:vMerge w:val="restart"/>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数量</w:t>
            </w:r>
          </w:p>
        </w:tc>
        <w:tc>
          <w:tcPr>
            <w:tcW w:w="910"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巡回宣讲场次</w:t>
            </w:r>
          </w:p>
        </w:tc>
        <w:tc>
          <w:tcPr>
            <w:tcW w:w="2142"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宣讲场次每减少4场，扣分10%；未达到24场不得分。</w:t>
            </w:r>
          </w:p>
        </w:tc>
        <w:tc>
          <w:tcPr>
            <w:tcW w:w="2015"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反映讲师团2021年组建宣讲团深入到各县（市、区）宣讲站开展宣讲活动的场次</w:t>
            </w:r>
          </w:p>
        </w:tc>
        <w:tc>
          <w:tcPr>
            <w:tcW w:w="490"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w:t>
            </w:r>
          </w:p>
        </w:tc>
        <w:tc>
          <w:tcPr>
            <w:tcW w:w="602"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40</w:t>
            </w:r>
          </w:p>
        </w:tc>
        <w:tc>
          <w:tcPr>
            <w:tcW w:w="518"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场</w:t>
            </w:r>
          </w:p>
        </w:tc>
        <w:tc>
          <w:tcPr>
            <w:tcW w:w="1288"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基层理论宣讲的现实需求和中央、省、市重大会议安排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jc w:val="center"/>
        </w:trPr>
        <w:tc>
          <w:tcPr>
            <w:tcW w:w="476" w:type="dxa"/>
            <w:vMerge w:val="continue"/>
            <w:shd w:val="clear" w:color="auto" w:fill="auto"/>
            <w:vAlign w:val="center"/>
          </w:tcPr>
          <w:p>
            <w:pPr>
              <w:widowControl/>
              <w:adjustRightInd w:val="0"/>
              <w:snapToGrid w:val="0"/>
              <w:jc w:val="center"/>
              <w:rPr>
                <w:rFonts w:eastAsia="仿宋_GB2312"/>
                <w:color w:val="000000" w:themeColor="text1"/>
                <w:kern w:val="0"/>
                <w:szCs w:val="21"/>
              </w:rPr>
            </w:pPr>
          </w:p>
        </w:tc>
        <w:tc>
          <w:tcPr>
            <w:tcW w:w="672" w:type="dxa"/>
            <w:vMerge w:val="continue"/>
            <w:shd w:val="clear" w:color="auto" w:fill="auto"/>
            <w:vAlign w:val="center"/>
          </w:tcPr>
          <w:p>
            <w:pPr>
              <w:widowControl/>
              <w:adjustRightInd w:val="0"/>
              <w:snapToGrid w:val="0"/>
              <w:jc w:val="center"/>
              <w:rPr>
                <w:rFonts w:eastAsia="仿宋_GB2312"/>
                <w:color w:val="000000" w:themeColor="text1"/>
                <w:kern w:val="0"/>
                <w:szCs w:val="21"/>
              </w:rPr>
            </w:pPr>
          </w:p>
        </w:tc>
        <w:tc>
          <w:tcPr>
            <w:tcW w:w="910" w:type="dxa"/>
            <w:shd w:val="clear" w:color="auto" w:fill="auto"/>
            <w:vAlign w:val="center"/>
          </w:tcPr>
          <w:p>
            <w:pPr>
              <w:widowControl/>
              <w:adjustRightInd w:val="0"/>
              <w:snapToGrid w:val="0"/>
              <w:textAlignment w:val="center"/>
              <w:rPr>
                <w:rFonts w:eastAsia="仿宋_GB2312"/>
                <w:color w:val="000000" w:themeColor="text1"/>
                <w:kern w:val="0"/>
                <w:szCs w:val="21"/>
              </w:rPr>
            </w:pPr>
            <w:r>
              <w:rPr>
                <w:rFonts w:eastAsia="仿宋_GB2312"/>
                <w:color w:val="000000" w:themeColor="text1"/>
                <w:kern w:val="0"/>
                <w:szCs w:val="21"/>
              </w:rPr>
              <w:t>大讲堂网站上传理论宣传信息及图片数量</w:t>
            </w:r>
          </w:p>
        </w:tc>
        <w:tc>
          <w:tcPr>
            <w:tcW w:w="2142"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有效信息和图片数量每减少600条，扣分10%；未达到3600条不得分。</w:t>
            </w:r>
          </w:p>
        </w:tc>
        <w:tc>
          <w:tcPr>
            <w:tcW w:w="2015"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反映讲师团2021年廊坊大讲堂网站上传市委中心学习组和全市理论宣传的有效信息和图片数量</w:t>
            </w:r>
          </w:p>
        </w:tc>
        <w:tc>
          <w:tcPr>
            <w:tcW w:w="490"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w:t>
            </w:r>
          </w:p>
        </w:tc>
        <w:tc>
          <w:tcPr>
            <w:tcW w:w="602"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6000</w:t>
            </w:r>
          </w:p>
        </w:tc>
        <w:tc>
          <w:tcPr>
            <w:tcW w:w="518"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条</w:t>
            </w:r>
          </w:p>
        </w:tc>
        <w:tc>
          <w:tcPr>
            <w:tcW w:w="1288"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后台数据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jc w:val="center"/>
        </w:trPr>
        <w:tc>
          <w:tcPr>
            <w:tcW w:w="476" w:type="dxa"/>
            <w:vMerge w:val="continue"/>
            <w:shd w:val="clear" w:color="auto" w:fill="auto"/>
            <w:vAlign w:val="center"/>
          </w:tcPr>
          <w:p>
            <w:pPr>
              <w:widowControl/>
              <w:adjustRightInd w:val="0"/>
              <w:snapToGrid w:val="0"/>
              <w:jc w:val="center"/>
              <w:rPr>
                <w:rFonts w:eastAsia="仿宋_GB2312"/>
                <w:color w:val="000000" w:themeColor="text1"/>
                <w:kern w:val="0"/>
                <w:szCs w:val="21"/>
              </w:rPr>
            </w:pPr>
          </w:p>
        </w:tc>
        <w:tc>
          <w:tcPr>
            <w:tcW w:w="672" w:type="dxa"/>
            <w:vMerge w:val="continue"/>
            <w:shd w:val="clear" w:color="auto" w:fill="auto"/>
            <w:vAlign w:val="center"/>
          </w:tcPr>
          <w:p>
            <w:pPr>
              <w:widowControl/>
              <w:adjustRightInd w:val="0"/>
              <w:snapToGrid w:val="0"/>
              <w:jc w:val="center"/>
              <w:rPr>
                <w:rFonts w:eastAsia="仿宋_GB2312"/>
                <w:color w:val="000000" w:themeColor="text1"/>
                <w:kern w:val="0"/>
                <w:szCs w:val="21"/>
              </w:rPr>
            </w:pPr>
          </w:p>
        </w:tc>
        <w:tc>
          <w:tcPr>
            <w:tcW w:w="910" w:type="dxa"/>
            <w:shd w:val="clear" w:color="auto" w:fill="auto"/>
            <w:vAlign w:val="center"/>
          </w:tcPr>
          <w:p>
            <w:pPr>
              <w:widowControl/>
              <w:adjustRightInd w:val="0"/>
              <w:snapToGrid w:val="0"/>
              <w:textAlignment w:val="center"/>
              <w:rPr>
                <w:rFonts w:eastAsia="仿宋_GB2312"/>
                <w:color w:val="000000" w:themeColor="text1"/>
                <w:kern w:val="0"/>
                <w:szCs w:val="21"/>
              </w:rPr>
            </w:pPr>
            <w:r>
              <w:rPr>
                <w:rFonts w:eastAsia="仿宋_GB2312"/>
                <w:color w:val="000000" w:themeColor="text1"/>
                <w:kern w:val="0"/>
                <w:szCs w:val="21"/>
              </w:rPr>
              <w:t>《廊坊社会科学》发行期数</w:t>
            </w:r>
          </w:p>
        </w:tc>
        <w:tc>
          <w:tcPr>
            <w:tcW w:w="2142"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发行印刷期数每减少1期，扣分25%；未达到2期不得分。</w:t>
            </w:r>
          </w:p>
        </w:tc>
        <w:tc>
          <w:tcPr>
            <w:tcW w:w="2015"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反映讲师团2021年《廊坊社会科学》发行期数</w:t>
            </w:r>
          </w:p>
        </w:tc>
        <w:tc>
          <w:tcPr>
            <w:tcW w:w="490"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w:t>
            </w:r>
          </w:p>
        </w:tc>
        <w:tc>
          <w:tcPr>
            <w:tcW w:w="602"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4</w:t>
            </w:r>
          </w:p>
        </w:tc>
        <w:tc>
          <w:tcPr>
            <w:tcW w:w="518"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期</w:t>
            </w:r>
          </w:p>
        </w:tc>
        <w:tc>
          <w:tcPr>
            <w:tcW w:w="1288"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jc w:val="center"/>
        </w:trPr>
        <w:tc>
          <w:tcPr>
            <w:tcW w:w="476" w:type="dxa"/>
            <w:vMerge w:val="continue"/>
            <w:shd w:val="clear" w:color="auto" w:fill="auto"/>
            <w:vAlign w:val="center"/>
          </w:tcPr>
          <w:p>
            <w:pPr>
              <w:widowControl/>
              <w:adjustRightInd w:val="0"/>
              <w:snapToGrid w:val="0"/>
              <w:jc w:val="center"/>
              <w:rPr>
                <w:rFonts w:eastAsia="仿宋_GB2312"/>
                <w:color w:val="000000" w:themeColor="text1"/>
                <w:kern w:val="0"/>
                <w:szCs w:val="21"/>
              </w:rPr>
            </w:pPr>
          </w:p>
        </w:tc>
        <w:tc>
          <w:tcPr>
            <w:tcW w:w="672" w:type="dxa"/>
            <w:vMerge w:val="restart"/>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质量</w:t>
            </w:r>
          </w:p>
        </w:tc>
        <w:tc>
          <w:tcPr>
            <w:tcW w:w="910" w:type="dxa"/>
            <w:shd w:val="clear" w:color="auto" w:fill="auto"/>
            <w:vAlign w:val="center"/>
          </w:tcPr>
          <w:p>
            <w:pPr>
              <w:widowControl/>
              <w:adjustRightInd w:val="0"/>
              <w:snapToGrid w:val="0"/>
              <w:textAlignment w:val="center"/>
              <w:rPr>
                <w:rFonts w:eastAsia="仿宋_GB2312"/>
                <w:color w:val="000000" w:themeColor="text1"/>
                <w:kern w:val="0"/>
                <w:szCs w:val="21"/>
              </w:rPr>
            </w:pPr>
            <w:r>
              <w:rPr>
                <w:rFonts w:eastAsia="仿宋_GB2312"/>
                <w:color w:val="000000" w:themeColor="text1"/>
                <w:kern w:val="0"/>
                <w:szCs w:val="21"/>
              </w:rPr>
              <w:t>上级单位对宣讲工作的评价</w:t>
            </w:r>
          </w:p>
        </w:tc>
        <w:tc>
          <w:tcPr>
            <w:tcW w:w="2142"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评价为优秀得分，否则不得分。</w:t>
            </w:r>
          </w:p>
        </w:tc>
        <w:tc>
          <w:tcPr>
            <w:tcW w:w="2015"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反应上级领导部门对宣讲工作的肯定性评价</w:t>
            </w:r>
          </w:p>
        </w:tc>
        <w:tc>
          <w:tcPr>
            <w:tcW w:w="490"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文字描述</w:t>
            </w:r>
          </w:p>
        </w:tc>
        <w:tc>
          <w:tcPr>
            <w:tcW w:w="602"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优秀</w:t>
            </w:r>
          </w:p>
        </w:tc>
        <w:tc>
          <w:tcPr>
            <w:tcW w:w="518" w:type="dxa"/>
            <w:shd w:val="clear" w:color="auto" w:fill="auto"/>
            <w:vAlign w:val="center"/>
          </w:tcPr>
          <w:p>
            <w:pPr>
              <w:keepNext/>
              <w:keepLines/>
              <w:widowControl/>
              <w:adjustRightInd w:val="0"/>
              <w:snapToGrid w:val="0"/>
              <w:jc w:val="center"/>
              <w:rPr>
                <w:rFonts w:eastAsia="仿宋_GB2312"/>
                <w:color w:val="000000" w:themeColor="text1"/>
                <w:kern w:val="0"/>
                <w:szCs w:val="21"/>
              </w:rPr>
            </w:pPr>
          </w:p>
        </w:tc>
        <w:tc>
          <w:tcPr>
            <w:tcW w:w="1288"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省讲师团评定结果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jc w:val="center"/>
        </w:trPr>
        <w:tc>
          <w:tcPr>
            <w:tcW w:w="476" w:type="dxa"/>
            <w:vMerge w:val="continue"/>
            <w:shd w:val="clear" w:color="auto" w:fill="auto"/>
            <w:vAlign w:val="center"/>
          </w:tcPr>
          <w:p>
            <w:pPr>
              <w:widowControl/>
              <w:adjustRightInd w:val="0"/>
              <w:snapToGrid w:val="0"/>
              <w:jc w:val="center"/>
              <w:rPr>
                <w:rFonts w:eastAsia="仿宋_GB2312"/>
                <w:color w:val="000000" w:themeColor="text1"/>
                <w:kern w:val="0"/>
                <w:szCs w:val="21"/>
              </w:rPr>
            </w:pPr>
          </w:p>
        </w:tc>
        <w:tc>
          <w:tcPr>
            <w:tcW w:w="672" w:type="dxa"/>
            <w:vMerge w:val="continue"/>
            <w:shd w:val="clear" w:color="auto" w:fill="auto"/>
            <w:vAlign w:val="center"/>
          </w:tcPr>
          <w:p>
            <w:pPr>
              <w:widowControl/>
              <w:adjustRightInd w:val="0"/>
              <w:snapToGrid w:val="0"/>
              <w:jc w:val="center"/>
              <w:rPr>
                <w:rFonts w:eastAsia="仿宋_GB2312"/>
                <w:color w:val="000000" w:themeColor="text1"/>
                <w:kern w:val="0"/>
                <w:szCs w:val="21"/>
              </w:rPr>
            </w:pPr>
          </w:p>
        </w:tc>
        <w:tc>
          <w:tcPr>
            <w:tcW w:w="910" w:type="dxa"/>
            <w:shd w:val="clear" w:color="auto" w:fill="auto"/>
            <w:vAlign w:val="center"/>
          </w:tcPr>
          <w:p>
            <w:pPr>
              <w:widowControl/>
              <w:adjustRightInd w:val="0"/>
              <w:snapToGrid w:val="0"/>
              <w:textAlignment w:val="center"/>
              <w:rPr>
                <w:rFonts w:eastAsia="仿宋_GB2312"/>
                <w:color w:val="000000" w:themeColor="text1"/>
                <w:kern w:val="0"/>
                <w:szCs w:val="21"/>
              </w:rPr>
            </w:pPr>
            <w:r>
              <w:rPr>
                <w:rFonts w:eastAsia="仿宋_GB2312"/>
                <w:color w:val="000000" w:themeColor="text1"/>
                <w:kern w:val="0"/>
                <w:szCs w:val="21"/>
              </w:rPr>
              <w:t>理论研究成果优秀率</w:t>
            </w:r>
          </w:p>
        </w:tc>
        <w:tc>
          <w:tcPr>
            <w:tcW w:w="2142"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优秀率每降低4%，扣分10%；未达到24%不得分。</w:t>
            </w:r>
          </w:p>
        </w:tc>
        <w:tc>
          <w:tcPr>
            <w:tcW w:w="2015"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反映讲师团2021年推出的研究成果中被评为优秀等级的研究成果所占百分比</w:t>
            </w:r>
          </w:p>
        </w:tc>
        <w:tc>
          <w:tcPr>
            <w:tcW w:w="490"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w:t>
            </w:r>
          </w:p>
        </w:tc>
        <w:tc>
          <w:tcPr>
            <w:tcW w:w="602"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40</w:t>
            </w:r>
          </w:p>
        </w:tc>
        <w:tc>
          <w:tcPr>
            <w:tcW w:w="518"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w:t>
            </w:r>
          </w:p>
        </w:tc>
        <w:tc>
          <w:tcPr>
            <w:tcW w:w="1288"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专家评审意见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jc w:val="center"/>
        </w:trPr>
        <w:tc>
          <w:tcPr>
            <w:tcW w:w="476" w:type="dxa"/>
            <w:vMerge w:val="continue"/>
            <w:shd w:val="clear" w:color="auto" w:fill="auto"/>
            <w:vAlign w:val="center"/>
          </w:tcPr>
          <w:p>
            <w:pPr>
              <w:widowControl/>
              <w:adjustRightInd w:val="0"/>
              <w:snapToGrid w:val="0"/>
              <w:jc w:val="center"/>
              <w:rPr>
                <w:rFonts w:eastAsia="仿宋_GB2312"/>
                <w:color w:val="000000" w:themeColor="text1"/>
                <w:kern w:val="0"/>
                <w:szCs w:val="21"/>
              </w:rPr>
            </w:pPr>
          </w:p>
        </w:tc>
        <w:tc>
          <w:tcPr>
            <w:tcW w:w="672" w:type="dxa"/>
            <w:vMerge w:val="restart"/>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时效</w:t>
            </w:r>
          </w:p>
        </w:tc>
        <w:tc>
          <w:tcPr>
            <w:tcW w:w="910" w:type="dxa"/>
            <w:shd w:val="clear" w:color="auto" w:fill="auto"/>
            <w:vAlign w:val="center"/>
          </w:tcPr>
          <w:p>
            <w:pPr>
              <w:widowControl/>
              <w:adjustRightInd w:val="0"/>
              <w:snapToGrid w:val="0"/>
              <w:textAlignment w:val="center"/>
              <w:rPr>
                <w:rFonts w:eastAsia="仿宋_GB2312"/>
                <w:color w:val="000000" w:themeColor="text1"/>
                <w:kern w:val="0"/>
                <w:szCs w:val="21"/>
              </w:rPr>
            </w:pPr>
            <w:r>
              <w:rPr>
                <w:rFonts w:eastAsia="仿宋_GB2312"/>
                <w:color w:val="000000" w:themeColor="text1"/>
                <w:kern w:val="0"/>
                <w:szCs w:val="21"/>
              </w:rPr>
              <w:t>宣讲活动开展及时性</w:t>
            </w:r>
          </w:p>
        </w:tc>
        <w:tc>
          <w:tcPr>
            <w:tcW w:w="2142"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间隔时间超过一个月每增加3天，扣分10%。</w:t>
            </w:r>
          </w:p>
        </w:tc>
        <w:tc>
          <w:tcPr>
            <w:tcW w:w="2015"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反映讲师团2021年在中央省市重大会议后对会议精神进行宣讲的间隔时间</w:t>
            </w:r>
          </w:p>
        </w:tc>
        <w:tc>
          <w:tcPr>
            <w:tcW w:w="490"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w:t>
            </w:r>
          </w:p>
        </w:tc>
        <w:tc>
          <w:tcPr>
            <w:tcW w:w="602"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1</w:t>
            </w:r>
          </w:p>
        </w:tc>
        <w:tc>
          <w:tcPr>
            <w:tcW w:w="518"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月</w:t>
            </w:r>
          </w:p>
        </w:tc>
        <w:tc>
          <w:tcPr>
            <w:tcW w:w="1288"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jc w:val="center"/>
        </w:trPr>
        <w:tc>
          <w:tcPr>
            <w:tcW w:w="476" w:type="dxa"/>
            <w:vMerge w:val="continue"/>
            <w:shd w:val="clear" w:color="auto" w:fill="auto"/>
            <w:vAlign w:val="center"/>
          </w:tcPr>
          <w:p>
            <w:pPr>
              <w:widowControl/>
              <w:adjustRightInd w:val="0"/>
              <w:snapToGrid w:val="0"/>
              <w:jc w:val="center"/>
              <w:rPr>
                <w:rFonts w:eastAsia="仿宋_GB2312"/>
                <w:color w:val="000000" w:themeColor="text1"/>
                <w:kern w:val="0"/>
                <w:szCs w:val="21"/>
              </w:rPr>
            </w:pPr>
          </w:p>
        </w:tc>
        <w:tc>
          <w:tcPr>
            <w:tcW w:w="672" w:type="dxa"/>
            <w:vMerge w:val="continue"/>
            <w:shd w:val="clear" w:color="auto" w:fill="auto"/>
            <w:vAlign w:val="center"/>
          </w:tcPr>
          <w:p>
            <w:pPr>
              <w:widowControl/>
              <w:adjustRightInd w:val="0"/>
              <w:snapToGrid w:val="0"/>
              <w:jc w:val="center"/>
              <w:rPr>
                <w:rFonts w:eastAsia="仿宋_GB2312"/>
                <w:color w:val="000000" w:themeColor="text1"/>
                <w:kern w:val="0"/>
                <w:szCs w:val="21"/>
              </w:rPr>
            </w:pPr>
          </w:p>
        </w:tc>
        <w:tc>
          <w:tcPr>
            <w:tcW w:w="910" w:type="dxa"/>
            <w:shd w:val="clear" w:color="auto" w:fill="auto"/>
            <w:vAlign w:val="center"/>
          </w:tcPr>
          <w:p>
            <w:pPr>
              <w:widowControl/>
              <w:adjustRightInd w:val="0"/>
              <w:snapToGrid w:val="0"/>
              <w:textAlignment w:val="center"/>
              <w:rPr>
                <w:rFonts w:eastAsia="仿宋_GB2312"/>
                <w:color w:val="000000" w:themeColor="text1"/>
                <w:kern w:val="0"/>
                <w:szCs w:val="21"/>
              </w:rPr>
            </w:pPr>
            <w:r>
              <w:rPr>
                <w:rFonts w:eastAsia="仿宋_GB2312"/>
                <w:color w:val="000000" w:themeColor="text1"/>
                <w:kern w:val="0"/>
                <w:szCs w:val="21"/>
              </w:rPr>
              <w:t>大讲堂网站技术漏洞修复处理时间</w:t>
            </w:r>
          </w:p>
        </w:tc>
        <w:tc>
          <w:tcPr>
            <w:tcW w:w="2142"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间隔时间超过一天每增加1天，扣分10%。</w:t>
            </w:r>
          </w:p>
        </w:tc>
        <w:tc>
          <w:tcPr>
            <w:tcW w:w="2015"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反映讲师团2021年大讲堂网站技术漏洞修复平均处理时间</w:t>
            </w:r>
          </w:p>
        </w:tc>
        <w:tc>
          <w:tcPr>
            <w:tcW w:w="490"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w:t>
            </w:r>
          </w:p>
        </w:tc>
        <w:tc>
          <w:tcPr>
            <w:tcW w:w="602"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1</w:t>
            </w:r>
          </w:p>
        </w:tc>
        <w:tc>
          <w:tcPr>
            <w:tcW w:w="518"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天</w:t>
            </w:r>
          </w:p>
        </w:tc>
        <w:tc>
          <w:tcPr>
            <w:tcW w:w="1288"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技术漏洞修复实际需要时间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1992" w:hRule="atLeast"/>
          <w:jc w:val="center"/>
        </w:trPr>
        <w:tc>
          <w:tcPr>
            <w:tcW w:w="476" w:type="dxa"/>
            <w:vMerge w:val="continue"/>
            <w:shd w:val="clear" w:color="auto" w:fill="auto"/>
            <w:vAlign w:val="center"/>
          </w:tcPr>
          <w:p>
            <w:pPr>
              <w:widowControl/>
              <w:adjustRightInd w:val="0"/>
              <w:snapToGrid w:val="0"/>
              <w:jc w:val="center"/>
              <w:rPr>
                <w:rFonts w:eastAsia="仿宋_GB2312"/>
                <w:color w:val="000000" w:themeColor="text1"/>
                <w:kern w:val="0"/>
                <w:szCs w:val="21"/>
              </w:rPr>
            </w:pPr>
          </w:p>
        </w:tc>
        <w:tc>
          <w:tcPr>
            <w:tcW w:w="672" w:type="dxa"/>
            <w:vMerge w:val="restart"/>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成本</w:t>
            </w:r>
          </w:p>
        </w:tc>
        <w:tc>
          <w:tcPr>
            <w:tcW w:w="910"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公用经费控制率</w:t>
            </w:r>
          </w:p>
        </w:tc>
        <w:tc>
          <w:tcPr>
            <w:tcW w:w="2142"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1."三公"经费实际支出数≤预算安排的三公经费数，得分50%，否则不得分；2.日常公用经费决算数≤日常公用经费调整预算数，得分50%，否则不得分。</w:t>
            </w:r>
          </w:p>
        </w:tc>
        <w:tc>
          <w:tcPr>
            <w:tcW w:w="2015"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反映讲师团2021年度公用经费控制率，控制率=实际支出的公用经费总额/预算安排的公用经费总额</w:t>
            </w:r>
          </w:p>
        </w:tc>
        <w:tc>
          <w:tcPr>
            <w:tcW w:w="490"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w:t>
            </w:r>
          </w:p>
        </w:tc>
        <w:tc>
          <w:tcPr>
            <w:tcW w:w="602"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100</w:t>
            </w:r>
          </w:p>
        </w:tc>
        <w:tc>
          <w:tcPr>
            <w:tcW w:w="518"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w:t>
            </w:r>
          </w:p>
        </w:tc>
        <w:tc>
          <w:tcPr>
            <w:tcW w:w="1288"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1448" w:hRule="atLeast"/>
          <w:jc w:val="center"/>
        </w:trPr>
        <w:tc>
          <w:tcPr>
            <w:tcW w:w="476" w:type="dxa"/>
            <w:vMerge w:val="continue"/>
            <w:shd w:val="clear" w:color="auto" w:fill="auto"/>
            <w:vAlign w:val="center"/>
          </w:tcPr>
          <w:p>
            <w:pPr>
              <w:widowControl/>
              <w:adjustRightInd w:val="0"/>
              <w:snapToGrid w:val="0"/>
              <w:jc w:val="center"/>
              <w:rPr>
                <w:rFonts w:eastAsia="仿宋_GB2312"/>
                <w:color w:val="000000" w:themeColor="text1"/>
                <w:kern w:val="0"/>
                <w:szCs w:val="21"/>
              </w:rPr>
            </w:pPr>
          </w:p>
        </w:tc>
        <w:tc>
          <w:tcPr>
            <w:tcW w:w="672" w:type="dxa"/>
            <w:vMerge w:val="continue"/>
            <w:shd w:val="clear" w:color="auto" w:fill="auto"/>
            <w:vAlign w:val="center"/>
          </w:tcPr>
          <w:p>
            <w:pPr>
              <w:widowControl/>
              <w:adjustRightInd w:val="0"/>
              <w:snapToGrid w:val="0"/>
              <w:jc w:val="center"/>
              <w:rPr>
                <w:rFonts w:eastAsia="仿宋_GB2312"/>
                <w:color w:val="000000" w:themeColor="text1"/>
                <w:kern w:val="0"/>
                <w:szCs w:val="21"/>
              </w:rPr>
            </w:pPr>
          </w:p>
        </w:tc>
        <w:tc>
          <w:tcPr>
            <w:tcW w:w="910"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每场宣讲活动聘用宣讲员的成本</w:t>
            </w:r>
          </w:p>
        </w:tc>
        <w:tc>
          <w:tcPr>
            <w:tcW w:w="2142"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超过指标成本10%（含）以内不扣分，每多超过10%，扣分10%。</w:t>
            </w:r>
          </w:p>
        </w:tc>
        <w:tc>
          <w:tcPr>
            <w:tcW w:w="2015"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反应讲师团2021年每场宣讲活动聘用宣讲员所需经费</w:t>
            </w:r>
          </w:p>
        </w:tc>
        <w:tc>
          <w:tcPr>
            <w:tcW w:w="490"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w:t>
            </w:r>
          </w:p>
        </w:tc>
        <w:tc>
          <w:tcPr>
            <w:tcW w:w="602"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0.10</w:t>
            </w:r>
          </w:p>
        </w:tc>
        <w:tc>
          <w:tcPr>
            <w:tcW w:w="518"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万元/场</w:t>
            </w:r>
          </w:p>
        </w:tc>
        <w:tc>
          <w:tcPr>
            <w:tcW w:w="1288"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《廊坊市市级机关培训费管理办法》廊财行〔2019〕19号文件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jc w:val="center"/>
        </w:trPr>
        <w:tc>
          <w:tcPr>
            <w:tcW w:w="476" w:type="dxa"/>
            <w:vMerge w:val="continue"/>
            <w:shd w:val="clear" w:color="auto" w:fill="auto"/>
            <w:vAlign w:val="center"/>
          </w:tcPr>
          <w:p>
            <w:pPr>
              <w:widowControl/>
              <w:adjustRightInd w:val="0"/>
              <w:snapToGrid w:val="0"/>
              <w:jc w:val="center"/>
              <w:rPr>
                <w:rFonts w:eastAsia="仿宋_GB2312"/>
                <w:color w:val="000000" w:themeColor="text1"/>
                <w:kern w:val="0"/>
                <w:szCs w:val="21"/>
              </w:rPr>
            </w:pPr>
          </w:p>
        </w:tc>
        <w:tc>
          <w:tcPr>
            <w:tcW w:w="672" w:type="dxa"/>
            <w:vMerge w:val="continue"/>
            <w:shd w:val="clear" w:color="auto" w:fill="auto"/>
            <w:vAlign w:val="center"/>
          </w:tcPr>
          <w:p>
            <w:pPr>
              <w:widowControl/>
              <w:adjustRightInd w:val="0"/>
              <w:snapToGrid w:val="0"/>
              <w:jc w:val="center"/>
              <w:rPr>
                <w:rFonts w:eastAsia="仿宋_GB2312"/>
                <w:color w:val="000000" w:themeColor="text1"/>
                <w:kern w:val="0"/>
                <w:szCs w:val="21"/>
              </w:rPr>
            </w:pPr>
          </w:p>
        </w:tc>
        <w:tc>
          <w:tcPr>
            <w:tcW w:w="910" w:type="dxa"/>
            <w:shd w:val="clear" w:color="auto" w:fill="auto"/>
            <w:vAlign w:val="center"/>
          </w:tcPr>
          <w:p>
            <w:pPr>
              <w:widowControl/>
              <w:adjustRightInd w:val="0"/>
              <w:snapToGrid w:val="0"/>
              <w:textAlignment w:val="center"/>
              <w:rPr>
                <w:rFonts w:eastAsia="仿宋_GB2312"/>
                <w:color w:val="000000" w:themeColor="text1"/>
                <w:kern w:val="0"/>
                <w:szCs w:val="21"/>
              </w:rPr>
            </w:pPr>
            <w:r>
              <w:rPr>
                <w:rFonts w:eastAsia="仿宋_GB2312"/>
                <w:color w:val="000000" w:themeColor="text1"/>
                <w:kern w:val="0"/>
                <w:szCs w:val="21"/>
              </w:rPr>
              <w:t>每季度大讲堂网站运行维护成本</w:t>
            </w:r>
          </w:p>
        </w:tc>
        <w:tc>
          <w:tcPr>
            <w:tcW w:w="2142"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每超过指标成本10%（含），扣分10%。</w:t>
            </w:r>
          </w:p>
        </w:tc>
        <w:tc>
          <w:tcPr>
            <w:tcW w:w="2015"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每季度大讲堂网站运行维护费</w:t>
            </w:r>
          </w:p>
        </w:tc>
        <w:tc>
          <w:tcPr>
            <w:tcW w:w="490"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w:t>
            </w:r>
          </w:p>
        </w:tc>
        <w:tc>
          <w:tcPr>
            <w:tcW w:w="602"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4.95</w:t>
            </w:r>
          </w:p>
        </w:tc>
        <w:tc>
          <w:tcPr>
            <w:tcW w:w="518"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万元/季度</w:t>
            </w:r>
          </w:p>
        </w:tc>
        <w:tc>
          <w:tcPr>
            <w:tcW w:w="1288"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988" w:hRule="atLeast"/>
          <w:jc w:val="center"/>
        </w:trPr>
        <w:tc>
          <w:tcPr>
            <w:tcW w:w="476" w:type="dxa"/>
            <w:vMerge w:val="restart"/>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部门效果</w:t>
            </w:r>
          </w:p>
        </w:tc>
        <w:tc>
          <w:tcPr>
            <w:tcW w:w="672" w:type="dxa"/>
            <w:vMerge w:val="restart"/>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社会</w:t>
            </w:r>
          </w:p>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效益</w:t>
            </w:r>
          </w:p>
        </w:tc>
        <w:tc>
          <w:tcPr>
            <w:tcW w:w="910"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宣讲活动受众人数</w:t>
            </w:r>
          </w:p>
        </w:tc>
        <w:tc>
          <w:tcPr>
            <w:tcW w:w="2142"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受众人数每减少300人，扣分10%。</w:t>
            </w:r>
          </w:p>
        </w:tc>
        <w:tc>
          <w:tcPr>
            <w:tcW w:w="2015"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反应讲师团2021年宣讲活动辅导的干部群众人数</w:t>
            </w:r>
          </w:p>
        </w:tc>
        <w:tc>
          <w:tcPr>
            <w:tcW w:w="490"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w:t>
            </w:r>
          </w:p>
        </w:tc>
        <w:tc>
          <w:tcPr>
            <w:tcW w:w="602"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3000</w:t>
            </w:r>
          </w:p>
        </w:tc>
        <w:tc>
          <w:tcPr>
            <w:tcW w:w="518"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人</w:t>
            </w:r>
          </w:p>
        </w:tc>
        <w:tc>
          <w:tcPr>
            <w:tcW w:w="1288"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宣讲工作记录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735" w:hRule="atLeast"/>
          <w:jc w:val="center"/>
        </w:trPr>
        <w:tc>
          <w:tcPr>
            <w:tcW w:w="476" w:type="dxa"/>
            <w:vMerge w:val="continue"/>
            <w:shd w:val="clear" w:color="auto" w:fill="auto"/>
            <w:vAlign w:val="center"/>
          </w:tcPr>
          <w:p>
            <w:pPr>
              <w:widowControl/>
              <w:adjustRightInd w:val="0"/>
              <w:snapToGrid w:val="0"/>
              <w:jc w:val="center"/>
              <w:rPr>
                <w:rFonts w:eastAsia="仿宋_GB2312"/>
                <w:color w:val="000000" w:themeColor="text1"/>
                <w:kern w:val="0"/>
                <w:szCs w:val="21"/>
              </w:rPr>
            </w:pPr>
          </w:p>
        </w:tc>
        <w:tc>
          <w:tcPr>
            <w:tcW w:w="672" w:type="dxa"/>
            <w:vMerge w:val="continue"/>
            <w:shd w:val="clear" w:color="auto" w:fill="auto"/>
            <w:vAlign w:val="center"/>
          </w:tcPr>
          <w:p>
            <w:pPr>
              <w:widowControl/>
              <w:adjustRightInd w:val="0"/>
              <w:snapToGrid w:val="0"/>
              <w:jc w:val="center"/>
              <w:rPr>
                <w:rFonts w:eastAsia="仿宋_GB2312"/>
                <w:color w:val="000000" w:themeColor="text1"/>
                <w:kern w:val="0"/>
                <w:szCs w:val="21"/>
              </w:rPr>
            </w:pPr>
          </w:p>
        </w:tc>
        <w:tc>
          <w:tcPr>
            <w:tcW w:w="910" w:type="dxa"/>
            <w:shd w:val="clear" w:color="auto" w:fill="auto"/>
            <w:vAlign w:val="center"/>
          </w:tcPr>
          <w:p>
            <w:pPr>
              <w:widowControl/>
              <w:adjustRightInd w:val="0"/>
              <w:snapToGrid w:val="0"/>
              <w:textAlignment w:val="center"/>
              <w:rPr>
                <w:rFonts w:eastAsia="仿宋_GB2312"/>
                <w:color w:val="000000" w:themeColor="text1"/>
                <w:kern w:val="0"/>
                <w:szCs w:val="21"/>
              </w:rPr>
            </w:pPr>
            <w:r>
              <w:rPr>
                <w:rFonts w:eastAsia="仿宋_GB2312"/>
                <w:color w:val="000000" w:themeColor="text1"/>
                <w:kern w:val="0"/>
                <w:szCs w:val="21"/>
              </w:rPr>
              <w:t>大讲堂网站点击量</w:t>
            </w:r>
          </w:p>
        </w:tc>
        <w:tc>
          <w:tcPr>
            <w:tcW w:w="2142"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点击量每减少8000次，扣分10%。</w:t>
            </w:r>
          </w:p>
        </w:tc>
        <w:tc>
          <w:tcPr>
            <w:tcW w:w="2015"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反应2021年大讲堂网站点击数量</w:t>
            </w:r>
          </w:p>
        </w:tc>
        <w:tc>
          <w:tcPr>
            <w:tcW w:w="490"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w:t>
            </w:r>
          </w:p>
        </w:tc>
        <w:tc>
          <w:tcPr>
            <w:tcW w:w="602"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80000</w:t>
            </w:r>
          </w:p>
        </w:tc>
        <w:tc>
          <w:tcPr>
            <w:tcW w:w="518"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次</w:t>
            </w:r>
          </w:p>
        </w:tc>
        <w:tc>
          <w:tcPr>
            <w:tcW w:w="1288"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后台数值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1588" w:hRule="atLeast"/>
          <w:jc w:val="center"/>
        </w:trPr>
        <w:tc>
          <w:tcPr>
            <w:tcW w:w="476" w:type="dxa"/>
            <w:vMerge w:val="continue"/>
            <w:vAlign w:val="center"/>
          </w:tcPr>
          <w:p>
            <w:pPr>
              <w:keepNext/>
              <w:keepLines/>
              <w:adjustRightInd w:val="0"/>
              <w:snapToGrid w:val="0"/>
              <w:jc w:val="center"/>
              <w:rPr>
                <w:rFonts w:eastAsia="仿宋_GB2312"/>
                <w:color w:val="000000" w:themeColor="text1"/>
                <w:szCs w:val="21"/>
              </w:rPr>
            </w:pPr>
          </w:p>
        </w:tc>
        <w:tc>
          <w:tcPr>
            <w:tcW w:w="672" w:type="dxa"/>
            <w:vMerge w:val="restart"/>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满意度</w:t>
            </w:r>
          </w:p>
        </w:tc>
        <w:tc>
          <w:tcPr>
            <w:tcW w:w="910"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宣讲活动辅导的干部群众满意度</w:t>
            </w:r>
          </w:p>
        </w:tc>
        <w:tc>
          <w:tcPr>
            <w:tcW w:w="2142"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满意度每降低9%，扣分10%；未达到63%不得分。</w:t>
            </w:r>
          </w:p>
        </w:tc>
        <w:tc>
          <w:tcPr>
            <w:tcW w:w="2015"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反应讲师团2021年宣讲活动中与会人员反馈满意和较满意的数量占调查用户总数量的比例</w:t>
            </w:r>
          </w:p>
        </w:tc>
        <w:tc>
          <w:tcPr>
            <w:tcW w:w="490"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w:t>
            </w:r>
          </w:p>
        </w:tc>
        <w:tc>
          <w:tcPr>
            <w:tcW w:w="602"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90</w:t>
            </w:r>
          </w:p>
        </w:tc>
        <w:tc>
          <w:tcPr>
            <w:tcW w:w="518"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w:t>
            </w:r>
          </w:p>
        </w:tc>
        <w:tc>
          <w:tcPr>
            <w:tcW w:w="1288"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Ex>
        <w:trPr>
          <w:trHeight w:val="1056" w:hRule="atLeast"/>
          <w:jc w:val="center"/>
        </w:trPr>
        <w:tc>
          <w:tcPr>
            <w:tcW w:w="476" w:type="dxa"/>
            <w:vMerge w:val="continue"/>
            <w:vAlign w:val="center"/>
          </w:tcPr>
          <w:p>
            <w:pPr>
              <w:keepNext/>
              <w:keepLines/>
              <w:adjustRightInd w:val="0"/>
              <w:snapToGrid w:val="0"/>
              <w:jc w:val="center"/>
              <w:rPr>
                <w:rFonts w:eastAsia="仿宋_GB2312"/>
                <w:color w:val="000000" w:themeColor="text1"/>
                <w:szCs w:val="21"/>
              </w:rPr>
            </w:pPr>
          </w:p>
        </w:tc>
        <w:tc>
          <w:tcPr>
            <w:tcW w:w="672" w:type="dxa"/>
            <w:vMerge w:val="continue"/>
            <w:vAlign w:val="center"/>
          </w:tcPr>
          <w:p>
            <w:pPr>
              <w:keepNext/>
              <w:keepLines/>
              <w:adjustRightInd w:val="0"/>
              <w:snapToGrid w:val="0"/>
              <w:jc w:val="center"/>
              <w:rPr>
                <w:rFonts w:eastAsia="仿宋_GB2312"/>
                <w:color w:val="000000" w:themeColor="text1"/>
                <w:szCs w:val="21"/>
              </w:rPr>
            </w:pPr>
          </w:p>
        </w:tc>
        <w:tc>
          <w:tcPr>
            <w:tcW w:w="910" w:type="dxa"/>
            <w:shd w:val="clear" w:color="auto" w:fill="auto"/>
            <w:vAlign w:val="center"/>
          </w:tcPr>
          <w:p>
            <w:pPr>
              <w:widowControl/>
              <w:adjustRightInd w:val="0"/>
              <w:snapToGrid w:val="0"/>
              <w:textAlignment w:val="center"/>
              <w:rPr>
                <w:rFonts w:eastAsia="仿宋_GB2312"/>
                <w:color w:val="000000" w:themeColor="text1"/>
                <w:kern w:val="0"/>
                <w:szCs w:val="21"/>
              </w:rPr>
            </w:pPr>
            <w:r>
              <w:rPr>
                <w:rFonts w:eastAsia="仿宋_GB2312"/>
                <w:color w:val="000000" w:themeColor="text1"/>
                <w:kern w:val="0"/>
                <w:szCs w:val="21"/>
              </w:rPr>
              <w:t>大讲堂网站用户满意度</w:t>
            </w:r>
          </w:p>
        </w:tc>
        <w:tc>
          <w:tcPr>
            <w:tcW w:w="2142"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满意度每降低9%，扣分10%；未达到63%不得分。</w:t>
            </w:r>
          </w:p>
        </w:tc>
        <w:tc>
          <w:tcPr>
            <w:tcW w:w="2015"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反应讲师团2021年大讲堂网站用户的满意度评价</w:t>
            </w:r>
          </w:p>
        </w:tc>
        <w:tc>
          <w:tcPr>
            <w:tcW w:w="490"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w:t>
            </w:r>
          </w:p>
        </w:tc>
        <w:tc>
          <w:tcPr>
            <w:tcW w:w="602"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90</w:t>
            </w:r>
          </w:p>
        </w:tc>
        <w:tc>
          <w:tcPr>
            <w:tcW w:w="518" w:type="dxa"/>
            <w:shd w:val="clear" w:color="auto" w:fill="auto"/>
            <w:vAlign w:val="center"/>
          </w:tcPr>
          <w:p>
            <w:pPr>
              <w:widowControl/>
              <w:adjustRightInd w:val="0"/>
              <w:snapToGrid w:val="0"/>
              <w:jc w:val="center"/>
              <w:rPr>
                <w:rFonts w:eastAsia="仿宋_GB2312"/>
                <w:color w:val="000000" w:themeColor="text1"/>
                <w:kern w:val="0"/>
                <w:szCs w:val="21"/>
              </w:rPr>
            </w:pPr>
            <w:r>
              <w:rPr>
                <w:rFonts w:eastAsia="仿宋_GB2312"/>
                <w:color w:val="000000" w:themeColor="text1"/>
                <w:kern w:val="0"/>
                <w:szCs w:val="21"/>
              </w:rPr>
              <w:t>%</w:t>
            </w:r>
          </w:p>
        </w:tc>
        <w:tc>
          <w:tcPr>
            <w:tcW w:w="1288" w:type="dxa"/>
            <w:shd w:val="clear" w:color="auto" w:fill="auto"/>
            <w:vAlign w:val="center"/>
          </w:tcPr>
          <w:p>
            <w:pPr>
              <w:widowControl/>
              <w:adjustRightInd w:val="0"/>
              <w:snapToGrid w:val="0"/>
              <w:rPr>
                <w:rFonts w:eastAsia="仿宋_GB2312"/>
                <w:color w:val="000000" w:themeColor="text1"/>
                <w:kern w:val="0"/>
                <w:szCs w:val="21"/>
              </w:rPr>
            </w:pPr>
            <w:r>
              <w:rPr>
                <w:rFonts w:eastAsia="仿宋_GB2312"/>
                <w:color w:val="000000" w:themeColor="text1"/>
                <w:kern w:val="0"/>
                <w:szCs w:val="21"/>
              </w:rPr>
              <w:t>调查问卷</w:t>
            </w:r>
          </w:p>
        </w:tc>
      </w:tr>
    </w:tbl>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overflowPunct w:val="0"/>
        <w:adjustRightInd w:val="0"/>
        <w:snapToGrid w:val="0"/>
        <w:spacing w:line="584" w:lineRule="exact"/>
        <w:ind w:firstLine="643" w:firstLineChars="200"/>
        <w:rPr>
          <w:rFonts w:hint="eastAsia" w:ascii="楷体_GB2312" w:eastAsia="楷体_GB2312" w:cs="Times New Roman"/>
          <w:b/>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讲师团（社科联）业务经费</w:t>
      </w:r>
      <w:r>
        <w:rPr>
          <w:rFonts w:ascii="Times New Roman" w:hAnsi="Times New Roman" w:eastAsia="仿宋_GB2312" w:cs="Times New Roman"/>
          <w:sz w:val="28"/>
        </w:rPr>
        <w:t>绩效目标表</w:t>
      </w:r>
      <w:bookmarkStart w:id="0" w:name="_Toc29799657"/>
      <w:bookmarkEnd w:id="0"/>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numPr>
                <w:ilvl w:val="0"/>
                <w:numId w:val="0"/>
              </w:numPr>
              <w:spacing w:line="300" w:lineRule="exact"/>
              <w:rPr>
                <w:rFonts w:hint="eastAsia"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w:t>
            </w:r>
            <w:r>
              <w:rPr>
                <w:rFonts w:hint="eastAsia" w:ascii="Times New Roman" w:hAnsi="Times New Roman" w:eastAsia="仿宋_GB2312" w:cs="Times New Roman"/>
                <w:kern w:val="0"/>
                <w:szCs w:val="21"/>
              </w:rPr>
              <w:t>保障机关工作正常高效运转</w:t>
            </w:r>
            <w:r>
              <w:rPr>
                <w:rFonts w:hint="eastAsia" w:ascii="Times New Roman" w:hAnsi="Times New Roman" w:eastAsia="仿宋_GB2312" w:cs="Times New Roman"/>
                <w:kern w:val="0"/>
                <w:szCs w:val="21"/>
                <w:lang w:eastAsia="zh-CN"/>
              </w:rPr>
              <w:t>。</w:t>
            </w:r>
          </w:p>
          <w:p>
            <w:pPr>
              <w:numPr>
                <w:ilvl w:val="0"/>
                <w:numId w:val="0"/>
              </w:numPr>
              <w:spacing w:line="300" w:lineRule="exac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w:t>
            </w:r>
            <w:r>
              <w:rPr>
                <w:rFonts w:ascii="Times New Roman" w:hAnsi="Times New Roman" w:eastAsia="仿宋_GB2312" w:cs="Times New Roman"/>
                <w:kern w:val="0"/>
                <w:szCs w:val="21"/>
              </w:rPr>
              <w:t>满足</w:t>
            </w:r>
            <w:r>
              <w:rPr>
                <w:rFonts w:hint="eastAsia" w:ascii="Times New Roman" w:hAnsi="Times New Roman" w:eastAsia="仿宋_GB2312" w:cs="Times New Roman"/>
                <w:kern w:val="0"/>
                <w:szCs w:val="21"/>
              </w:rPr>
              <w:t>单位各科室各项工作及活动会议场地，租赁车辆的</w:t>
            </w:r>
            <w:r>
              <w:rPr>
                <w:rFonts w:ascii="Times New Roman" w:hAnsi="Times New Roman" w:eastAsia="仿宋_GB2312" w:cs="Times New Roman"/>
                <w:kern w:val="0"/>
                <w:szCs w:val="21"/>
              </w:rPr>
              <w:t>及时性，</w:t>
            </w:r>
            <w:r>
              <w:rPr>
                <w:rFonts w:hint="eastAsia" w:ascii="Times New Roman" w:hAnsi="Times New Roman" w:eastAsia="仿宋_GB2312" w:cs="Times New Roman"/>
                <w:kern w:val="0"/>
                <w:szCs w:val="21"/>
              </w:rPr>
              <w:t>会议培训100名基层宣讲员，更好地服务基层宣讲工作</w:t>
            </w:r>
            <w:r>
              <w:rPr>
                <w:rFonts w:ascii="Times New Roman" w:hAnsi="Times New Roman" w:eastAsia="仿宋_GB2312" w:cs="Times New Roman"/>
                <w:kern w:val="0"/>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ascii="Times New Roman" w:hAnsi="Times New Roman" w:eastAsia="仿宋_GB2312" w:cs="Times New Roman"/>
                <w:kern w:val="0"/>
                <w:szCs w:val="21"/>
              </w:rPr>
              <w:t>数量</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lang w:val="en-US" w:eastAsia="zh-CN"/>
              </w:rPr>
              <w:t>参会</w:t>
            </w:r>
            <w:r>
              <w:rPr>
                <w:rFonts w:hint="eastAsia" w:ascii="Times New Roman" w:hAnsi="Times New Roman" w:eastAsia="仿宋_GB2312" w:cs="Times New Roman"/>
                <w:kern w:val="0"/>
                <w:szCs w:val="21"/>
              </w:rPr>
              <w:t>人数</w:t>
            </w:r>
          </w:p>
        </w:tc>
        <w:tc>
          <w:tcPr>
            <w:tcW w:w="3402" w:type="dxa"/>
            <w:shd w:val="clear" w:color="auto" w:fill="auto"/>
            <w:vAlign w:val="center"/>
          </w:tcPr>
          <w:p>
            <w:pPr>
              <w:widowControl/>
              <w:jc w:val="left"/>
              <w:textAlignment w:val="center"/>
              <w:rPr>
                <w:rFonts w:hint="eastAsia" w:ascii="Times New Roman" w:hAnsi="Times New Roman" w:eastAsia="仿宋_GB2312" w:cs="Times New Roman"/>
                <w:lang w:eastAsia="zh-CN"/>
              </w:rPr>
            </w:pPr>
            <w:r>
              <w:rPr>
                <w:rFonts w:hint="eastAsia" w:ascii="Times New Roman" w:hAnsi="Times New Roman" w:eastAsia="仿宋_GB2312" w:cs="Times New Roman"/>
                <w:kern w:val="0"/>
                <w:szCs w:val="21"/>
                <w:lang w:val="en-US" w:eastAsia="zh-CN"/>
              </w:rPr>
              <w:t>参加</w:t>
            </w:r>
            <w:r>
              <w:rPr>
                <w:rFonts w:hint="eastAsia" w:ascii="Times New Roman" w:hAnsi="Times New Roman" w:eastAsia="仿宋_GB2312" w:cs="Times New Roman"/>
                <w:kern w:val="0"/>
                <w:szCs w:val="21"/>
              </w:rPr>
              <w:t>宣讲员</w:t>
            </w:r>
            <w:r>
              <w:rPr>
                <w:rFonts w:hint="eastAsia" w:ascii="Times New Roman" w:hAnsi="Times New Roman" w:eastAsia="仿宋_GB2312" w:cs="Times New Roman"/>
                <w:kern w:val="0"/>
                <w:szCs w:val="21"/>
                <w:lang w:val="en-US" w:eastAsia="zh-CN"/>
              </w:rPr>
              <w:t>培训会议</w:t>
            </w:r>
            <w:r>
              <w:rPr>
                <w:rFonts w:hint="eastAsia" w:ascii="Times New Roman" w:hAnsi="Times New Roman" w:eastAsia="仿宋_GB2312" w:cs="Times New Roman"/>
                <w:kern w:val="0"/>
                <w:szCs w:val="21"/>
              </w:rPr>
              <w:t>的</w:t>
            </w:r>
            <w:r>
              <w:rPr>
                <w:rFonts w:hint="eastAsia" w:ascii="Times New Roman" w:hAnsi="Times New Roman" w:eastAsia="仿宋_GB2312" w:cs="Times New Roman"/>
                <w:kern w:val="0"/>
                <w:szCs w:val="21"/>
                <w:lang w:val="en-US" w:eastAsia="zh-CN"/>
              </w:rPr>
              <w:t>人次</w:t>
            </w:r>
          </w:p>
        </w:tc>
        <w:tc>
          <w:tcPr>
            <w:tcW w:w="1843" w:type="dxa"/>
            <w:shd w:val="clear" w:color="auto" w:fill="auto"/>
            <w:vAlign w:val="center"/>
          </w:tcPr>
          <w:p>
            <w:pPr>
              <w:widowControl/>
              <w:jc w:val="center"/>
              <w:textAlignment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100人</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center"/>
              <w:rPr>
                <w:rFonts w:ascii="Times New Roman" w:hAnsi="Times New Roman" w:eastAsia="仿宋_GB2312" w:cs="Times New Roman"/>
              </w:rPr>
            </w:pP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ascii="Times New Roman" w:hAnsi="Times New Roman" w:eastAsia="仿宋_GB2312" w:cs="Times New Roman"/>
                <w:kern w:val="0"/>
                <w:szCs w:val="21"/>
              </w:rPr>
              <w:t>质量</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会议任务完成情况</w:t>
            </w:r>
          </w:p>
        </w:tc>
        <w:tc>
          <w:tcPr>
            <w:tcW w:w="3402"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课题评审会各项任务完成情况</w:t>
            </w:r>
          </w:p>
        </w:tc>
        <w:tc>
          <w:tcPr>
            <w:tcW w:w="1843" w:type="dxa"/>
            <w:shd w:val="clear" w:color="auto" w:fill="auto"/>
            <w:vAlign w:val="center"/>
          </w:tcPr>
          <w:p>
            <w:pPr>
              <w:widowControl/>
              <w:jc w:val="center"/>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圆满完成</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ascii="Times New Roman" w:hAnsi="Times New Roman" w:eastAsia="仿宋_GB2312" w:cs="Times New Roman"/>
                <w:kern w:val="0"/>
                <w:szCs w:val="21"/>
              </w:rPr>
              <w:t>时效</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课题评审会议时间</w:t>
            </w:r>
          </w:p>
        </w:tc>
        <w:tc>
          <w:tcPr>
            <w:tcW w:w="3402"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课题评审会议举办时间</w:t>
            </w:r>
          </w:p>
        </w:tc>
        <w:tc>
          <w:tcPr>
            <w:tcW w:w="1843" w:type="dxa"/>
            <w:shd w:val="clear" w:color="auto" w:fill="auto"/>
            <w:vAlign w:val="center"/>
          </w:tcPr>
          <w:p>
            <w:pPr>
              <w:widowControl/>
              <w:jc w:val="center"/>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4月前</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按工作或活动方案规定的时间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kern w:val="0"/>
                <w:szCs w:val="21"/>
              </w:rPr>
              <w:t>成本</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课题评审会议</w:t>
            </w:r>
            <w:r>
              <w:rPr>
                <w:rFonts w:hint="eastAsia" w:ascii="Times New Roman" w:hAnsi="Times New Roman" w:eastAsia="仿宋_GB2312" w:cs="Times New Roman"/>
                <w:kern w:val="0"/>
                <w:szCs w:val="21"/>
                <w:lang w:val="en-US" w:eastAsia="zh-CN"/>
              </w:rPr>
              <w:t>的</w:t>
            </w:r>
            <w:r>
              <w:rPr>
                <w:rFonts w:hint="eastAsia" w:ascii="Times New Roman" w:hAnsi="Times New Roman" w:eastAsia="仿宋_GB2312" w:cs="Times New Roman"/>
                <w:kern w:val="0"/>
                <w:szCs w:val="21"/>
              </w:rPr>
              <w:t>成本</w:t>
            </w:r>
          </w:p>
        </w:tc>
        <w:tc>
          <w:tcPr>
            <w:tcW w:w="3402"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课题评审会议所需经费</w:t>
            </w:r>
          </w:p>
        </w:tc>
        <w:tc>
          <w:tcPr>
            <w:tcW w:w="1843" w:type="dxa"/>
            <w:shd w:val="clear" w:color="auto" w:fill="auto"/>
            <w:vAlign w:val="center"/>
          </w:tcPr>
          <w:p>
            <w:pPr>
              <w:widowControl/>
              <w:jc w:val="center"/>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0.25</w:t>
            </w:r>
            <w:r>
              <w:rPr>
                <w:rFonts w:hint="eastAsia" w:ascii="Times New Roman" w:hAnsi="Times New Roman" w:eastAsia="仿宋_GB2312" w:cs="Times New Roman"/>
                <w:kern w:val="0"/>
                <w:szCs w:val="21"/>
              </w:rPr>
              <w:t>万元/半天</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会议费管理办法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kern w:val="0"/>
                <w:szCs w:val="21"/>
              </w:rPr>
              <w:t>成本</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巡回宣讲租车</w:t>
            </w:r>
            <w:r>
              <w:rPr>
                <w:rFonts w:hint="eastAsia" w:ascii="Times New Roman" w:hAnsi="Times New Roman" w:eastAsia="仿宋_GB2312" w:cs="Times New Roman"/>
                <w:kern w:val="0"/>
                <w:szCs w:val="21"/>
                <w:lang w:val="en-US" w:eastAsia="zh-CN"/>
              </w:rPr>
              <w:t>的</w:t>
            </w:r>
            <w:r>
              <w:rPr>
                <w:rFonts w:hint="eastAsia" w:ascii="Times New Roman" w:hAnsi="Times New Roman" w:eastAsia="仿宋_GB2312" w:cs="Times New Roman"/>
                <w:kern w:val="0"/>
                <w:szCs w:val="21"/>
              </w:rPr>
              <w:t>成本</w:t>
            </w:r>
          </w:p>
        </w:tc>
        <w:tc>
          <w:tcPr>
            <w:tcW w:w="3402"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巡回宣讲租车所需经费</w:t>
            </w:r>
          </w:p>
        </w:tc>
        <w:tc>
          <w:tcPr>
            <w:tcW w:w="1843" w:type="dxa"/>
            <w:shd w:val="clear" w:color="auto" w:fill="auto"/>
            <w:vAlign w:val="center"/>
          </w:tcPr>
          <w:p>
            <w:pPr>
              <w:widowControl/>
              <w:jc w:val="center"/>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0.1</w:t>
            </w:r>
            <w:r>
              <w:rPr>
                <w:rFonts w:hint="eastAsia" w:ascii="Times New Roman" w:hAnsi="Times New Roman" w:eastAsia="仿宋_GB2312" w:cs="Times New Roman"/>
                <w:kern w:val="0"/>
                <w:szCs w:val="21"/>
              </w:rPr>
              <w:t>万元/次</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ascii="Times New Roman" w:hAnsi="Times New Roman" w:eastAsia="仿宋_GB2312" w:cs="Times New Roman"/>
                <w:kern w:val="0"/>
                <w:szCs w:val="21"/>
              </w:rPr>
              <w:t>社会效益</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宣讲员培训会议效果</w:t>
            </w:r>
          </w:p>
        </w:tc>
        <w:tc>
          <w:tcPr>
            <w:tcW w:w="3402"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通过召开宣讲员培训会议，提升宣讲人员宣讲能力和水平。</w:t>
            </w:r>
          </w:p>
        </w:tc>
        <w:tc>
          <w:tcPr>
            <w:tcW w:w="1843" w:type="dxa"/>
            <w:shd w:val="clear" w:color="auto" w:fill="auto"/>
            <w:vAlign w:val="center"/>
          </w:tcPr>
          <w:p>
            <w:pPr>
              <w:widowControl/>
              <w:jc w:val="center"/>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能力水平提高</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培训会议后对参会宣讲人员调查问卷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kern w:val="0"/>
                <w:szCs w:val="21"/>
                <w:lang w:val="en-US" w:eastAsia="zh-CN"/>
              </w:rPr>
              <w:t>服务对象</w:t>
            </w:r>
            <w:r>
              <w:rPr>
                <w:rFonts w:ascii="Times New Roman" w:hAnsi="Times New Roman" w:eastAsia="仿宋_GB2312" w:cs="Times New Roman"/>
                <w:kern w:val="0"/>
                <w:szCs w:val="21"/>
              </w:rPr>
              <w:t>满意度</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服务对象满意度</w:t>
            </w:r>
          </w:p>
        </w:tc>
        <w:tc>
          <w:tcPr>
            <w:tcW w:w="3402"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单位各科室对项目经费使用的满意度</w:t>
            </w:r>
          </w:p>
        </w:tc>
        <w:tc>
          <w:tcPr>
            <w:tcW w:w="1843" w:type="dxa"/>
            <w:shd w:val="clear" w:color="auto" w:fill="auto"/>
            <w:vAlign w:val="center"/>
          </w:tcPr>
          <w:p>
            <w:pPr>
              <w:widowControl/>
              <w:jc w:val="center"/>
              <w:textAlignment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90%</w:t>
            </w:r>
          </w:p>
        </w:tc>
        <w:tc>
          <w:tcPr>
            <w:tcW w:w="2155" w:type="dxa"/>
            <w:shd w:val="clear" w:color="auto" w:fill="auto"/>
            <w:vAlign w:val="center"/>
          </w:tcPr>
          <w:p>
            <w:pPr>
              <w:widowControl/>
              <w:jc w:val="center"/>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经费使用科室满意度调查表</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rPr>
        <w:t>讲师团（社科联）运行经费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numPr>
                <w:ilvl w:val="0"/>
                <w:numId w:val="0"/>
              </w:numPr>
              <w:spacing w:line="300" w:lineRule="exac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lang w:val="en-US" w:eastAsia="zh-CN"/>
              </w:rPr>
              <w:t>1.</w:t>
            </w:r>
            <w:r>
              <w:rPr>
                <w:rFonts w:hint="eastAsia" w:ascii="Times New Roman" w:hAnsi="Times New Roman" w:eastAsia="仿宋_GB2312" w:cs="Times New Roman"/>
                <w:kern w:val="0"/>
                <w:szCs w:val="21"/>
              </w:rPr>
              <w:t>通过《廊坊社会科学》宣传党的路线方针政策、进行社科普及、展示廊坊社科形象；通过编印成果汇编为市委、市政府科学决策献智献策；通过印制宣传折页在基层宣传党的政策理论。</w:t>
            </w:r>
          </w:p>
          <w:p>
            <w:pPr>
              <w:numPr>
                <w:ilvl w:val="0"/>
                <w:numId w:val="0"/>
              </w:numPr>
              <w:spacing w:line="300" w:lineRule="exact"/>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w:t>
            </w:r>
            <w:r>
              <w:rPr>
                <w:rFonts w:hint="eastAsia" w:ascii="Times New Roman" w:hAnsi="Times New Roman" w:eastAsia="仿宋_GB2312" w:cs="Times New Roman"/>
                <w:kern w:val="0"/>
                <w:szCs w:val="21"/>
              </w:rPr>
              <w:t>印刷《廊坊社会科学》四期，发行到市直机关及全国各省市社科联，扩大杂志的影响力，成为对外宣传廊坊的窗口；编印成果汇编400本，呈报市领导，并发我市广大社科工作者，推动理论社科工作更好地服务市委市政府科学决策；印制宣传折页在基层宣讲站发放，推动基层干部群众深入学习政策理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ascii="Times New Roman" w:hAnsi="Times New Roman" w:eastAsia="仿宋_GB2312" w:cs="Times New Roman"/>
                <w:kern w:val="0"/>
                <w:szCs w:val="21"/>
              </w:rPr>
              <w:t>数量</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numPr>
                <w:ilvl w:val="0"/>
                <w:numId w:val="0"/>
              </w:numPr>
              <w:spacing w:line="300" w:lineRule="exac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《廊坊社会科学》发行期数</w:t>
            </w:r>
          </w:p>
        </w:tc>
        <w:tc>
          <w:tcPr>
            <w:tcW w:w="3402" w:type="dxa"/>
            <w:shd w:val="clear" w:color="auto" w:fill="auto"/>
            <w:vAlign w:val="center"/>
          </w:tcPr>
          <w:p>
            <w:pPr>
              <w:numPr>
                <w:ilvl w:val="0"/>
                <w:numId w:val="0"/>
              </w:numPr>
              <w:spacing w:line="300" w:lineRule="exac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2021年《廊坊社会科学》发行期数</w:t>
            </w:r>
          </w:p>
        </w:tc>
        <w:tc>
          <w:tcPr>
            <w:tcW w:w="1843" w:type="dxa"/>
            <w:shd w:val="clear" w:color="auto" w:fill="auto"/>
            <w:vAlign w:val="center"/>
          </w:tcPr>
          <w:p>
            <w:pPr>
              <w:widowControl/>
              <w:jc w:val="center"/>
              <w:textAlignment w:val="center"/>
              <w:rPr>
                <w:rFonts w:hint="default" w:ascii="Times New Roman" w:hAnsi="Times New Roman" w:eastAsia="仿宋_GB2312" w:cs="Times New Roman"/>
                <w:lang w:val="en-US" w:eastAsia="zh-CN"/>
              </w:rPr>
            </w:pPr>
            <w:r>
              <w:rPr>
                <w:rFonts w:hint="eastAsia" w:ascii="仿宋_GB2312" w:hAnsi="宋体" w:eastAsia="仿宋_GB2312" w:cs="仿宋_GB2312"/>
                <w:kern w:val="0"/>
                <w:szCs w:val="21"/>
              </w:rPr>
              <w:t>≥</w:t>
            </w:r>
            <w:r>
              <w:rPr>
                <w:rFonts w:hint="eastAsia" w:ascii="仿宋_GB2312" w:hAnsi="宋体" w:eastAsia="仿宋_GB2312" w:cs="仿宋_GB2312"/>
                <w:kern w:val="0"/>
                <w:szCs w:val="21"/>
                <w:lang w:val="en-US" w:eastAsia="zh-CN"/>
              </w:rPr>
              <w:t>4期</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jc w:val="center"/>
              <w:textAlignment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kern w:val="0"/>
                <w:szCs w:val="21"/>
              </w:rPr>
              <w:t>数量</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numPr>
                <w:ilvl w:val="0"/>
                <w:numId w:val="0"/>
              </w:numPr>
              <w:spacing w:line="300" w:lineRule="exac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优秀成果汇编数量</w:t>
            </w:r>
          </w:p>
        </w:tc>
        <w:tc>
          <w:tcPr>
            <w:tcW w:w="3402" w:type="dxa"/>
            <w:shd w:val="clear" w:color="auto" w:fill="auto"/>
            <w:vAlign w:val="center"/>
          </w:tcPr>
          <w:p>
            <w:pPr>
              <w:numPr>
                <w:ilvl w:val="0"/>
                <w:numId w:val="0"/>
              </w:numPr>
              <w:spacing w:line="300" w:lineRule="exac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优秀成果汇编编印数量</w:t>
            </w:r>
          </w:p>
        </w:tc>
        <w:tc>
          <w:tcPr>
            <w:tcW w:w="1843" w:type="dxa"/>
            <w:shd w:val="clear" w:color="auto" w:fill="auto"/>
            <w:vAlign w:val="center"/>
          </w:tcPr>
          <w:p>
            <w:pPr>
              <w:widowControl/>
              <w:jc w:val="center"/>
              <w:textAlignment w:val="center"/>
              <w:rPr>
                <w:rFonts w:hint="default" w:ascii="Times New Roman" w:hAnsi="Times New Roman" w:eastAsia="仿宋_GB2312" w:cs="Times New Roman"/>
                <w:lang w:val="en-US" w:eastAsia="zh-CN"/>
              </w:rPr>
            </w:pPr>
            <w:r>
              <w:rPr>
                <w:rFonts w:hint="eastAsia" w:ascii="仿宋_GB2312" w:hAnsi="宋体" w:eastAsia="仿宋_GB2312" w:cs="仿宋_GB2312"/>
                <w:kern w:val="0"/>
                <w:szCs w:val="21"/>
              </w:rPr>
              <w:t>≥</w:t>
            </w:r>
            <w:r>
              <w:rPr>
                <w:rFonts w:hint="eastAsia" w:ascii="仿宋_GB2312" w:hAnsi="宋体" w:eastAsia="仿宋_GB2312" w:cs="仿宋_GB2312"/>
                <w:kern w:val="0"/>
                <w:szCs w:val="21"/>
                <w:lang w:val="en-US" w:eastAsia="zh-CN"/>
              </w:rPr>
              <w:t>400本</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实际编印数量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ascii="Times New Roman" w:hAnsi="Times New Roman" w:eastAsia="仿宋_GB2312" w:cs="Times New Roman"/>
                <w:kern w:val="0"/>
                <w:szCs w:val="21"/>
              </w:rPr>
              <w:t>质量</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numPr>
                <w:ilvl w:val="0"/>
                <w:numId w:val="0"/>
              </w:numPr>
              <w:spacing w:line="300" w:lineRule="exac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《廊坊社会科学》杂志合格率</w:t>
            </w:r>
          </w:p>
        </w:tc>
        <w:tc>
          <w:tcPr>
            <w:tcW w:w="3402" w:type="dxa"/>
            <w:shd w:val="clear" w:color="auto" w:fill="auto"/>
            <w:vAlign w:val="center"/>
          </w:tcPr>
          <w:p>
            <w:pPr>
              <w:numPr>
                <w:ilvl w:val="0"/>
                <w:numId w:val="0"/>
              </w:numPr>
              <w:spacing w:line="300" w:lineRule="exac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《廊坊社会科学》杂志印刷合格率=《廊坊社会科学》杂志印刷合格数量占总《廊坊社会科学》杂志印刷总数量的比率</w:t>
            </w:r>
          </w:p>
        </w:tc>
        <w:tc>
          <w:tcPr>
            <w:tcW w:w="1843" w:type="dxa"/>
            <w:shd w:val="clear" w:color="auto" w:fill="auto"/>
            <w:vAlign w:val="center"/>
          </w:tcPr>
          <w:p>
            <w:pPr>
              <w:widowControl/>
              <w:jc w:val="center"/>
              <w:textAlignment w:val="center"/>
              <w:rPr>
                <w:rFonts w:hint="default" w:ascii="Times New Roman" w:hAnsi="Times New Roman" w:eastAsia="仿宋_GB2312" w:cs="Times New Roman"/>
                <w:lang w:val="en-US" w:eastAsia="zh-CN"/>
              </w:rPr>
            </w:pPr>
            <w:r>
              <w:rPr>
                <w:rFonts w:hint="eastAsia" w:ascii="仿宋_GB2312" w:hAnsi="宋体" w:eastAsia="仿宋_GB2312" w:cs="仿宋_GB2312"/>
                <w:kern w:val="0"/>
                <w:szCs w:val="21"/>
              </w:rPr>
              <w:t>≥</w:t>
            </w:r>
            <w:r>
              <w:rPr>
                <w:rFonts w:hint="eastAsia" w:ascii="仿宋_GB2312" w:hAnsi="宋体" w:eastAsia="仿宋_GB2312" w:cs="仿宋_GB2312"/>
                <w:kern w:val="0"/>
                <w:szCs w:val="21"/>
                <w:lang w:val="en-US" w:eastAsia="zh-CN"/>
              </w:rPr>
              <w:t>90%</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ascii="Times New Roman" w:hAnsi="Times New Roman" w:eastAsia="仿宋_GB2312" w:cs="Times New Roman"/>
                <w:kern w:val="0"/>
                <w:szCs w:val="21"/>
              </w:rPr>
              <w:t>时效</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numPr>
                <w:ilvl w:val="0"/>
                <w:numId w:val="0"/>
              </w:numPr>
              <w:spacing w:line="300" w:lineRule="exac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《廊坊社会科学》出刊及时性</w:t>
            </w:r>
          </w:p>
        </w:tc>
        <w:tc>
          <w:tcPr>
            <w:tcW w:w="3402" w:type="dxa"/>
            <w:shd w:val="clear" w:color="auto" w:fill="auto"/>
            <w:vAlign w:val="center"/>
          </w:tcPr>
          <w:p>
            <w:pPr>
              <w:numPr>
                <w:ilvl w:val="0"/>
                <w:numId w:val="0"/>
              </w:numPr>
              <w:spacing w:line="300" w:lineRule="exac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《廊坊社会科学》每个季度出刊一期</w:t>
            </w:r>
          </w:p>
        </w:tc>
        <w:tc>
          <w:tcPr>
            <w:tcW w:w="1843" w:type="dxa"/>
            <w:shd w:val="clear" w:color="auto" w:fill="auto"/>
            <w:vAlign w:val="center"/>
          </w:tcPr>
          <w:p>
            <w:pPr>
              <w:widowControl/>
              <w:jc w:val="center"/>
              <w:textAlignment w:val="center"/>
              <w:rPr>
                <w:rFonts w:hint="default" w:ascii="Times New Roman" w:hAnsi="Times New Roman" w:eastAsia="仿宋_GB2312" w:cs="Times New Roman"/>
                <w:lang w:val="en-US" w:eastAsia="zh-CN"/>
              </w:rPr>
            </w:pPr>
            <w:r>
              <w:rPr>
                <w:rFonts w:hint="eastAsia" w:ascii="仿宋_GB2312" w:hAnsi="宋体" w:eastAsia="仿宋_GB2312" w:cs="仿宋_GB2312"/>
                <w:kern w:val="0"/>
                <w:szCs w:val="21"/>
              </w:rPr>
              <w:t>=</w:t>
            </w:r>
            <w:r>
              <w:rPr>
                <w:rFonts w:hint="eastAsia" w:ascii="仿宋_GB2312" w:hAnsi="宋体" w:eastAsia="仿宋_GB2312" w:cs="仿宋_GB2312"/>
                <w:kern w:val="0"/>
                <w:szCs w:val="21"/>
                <w:lang w:val="en-US" w:eastAsia="zh-CN"/>
              </w:rPr>
              <w:t>3月</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kern w:val="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ascii="Times New Roman" w:hAnsi="Times New Roman" w:eastAsia="仿宋_GB2312" w:cs="Times New Roman"/>
                <w:kern w:val="0"/>
                <w:szCs w:val="21"/>
              </w:rPr>
              <w:t>成本</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numPr>
                <w:ilvl w:val="0"/>
                <w:numId w:val="0"/>
              </w:numPr>
              <w:spacing w:line="300" w:lineRule="exac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《廊坊社会科学》每期印刷成本</w:t>
            </w:r>
          </w:p>
        </w:tc>
        <w:tc>
          <w:tcPr>
            <w:tcW w:w="3402" w:type="dxa"/>
            <w:shd w:val="clear" w:color="auto" w:fill="auto"/>
            <w:vAlign w:val="center"/>
          </w:tcPr>
          <w:p>
            <w:pPr>
              <w:numPr>
                <w:ilvl w:val="0"/>
                <w:numId w:val="0"/>
              </w:numPr>
              <w:spacing w:line="300" w:lineRule="exac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《廊坊社会科学》每期印刷所需经费</w:t>
            </w:r>
          </w:p>
        </w:tc>
        <w:tc>
          <w:tcPr>
            <w:tcW w:w="1843" w:type="dxa"/>
            <w:shd w:val="clear" w:color="auto" w:fill="auto"/>
            <w:vAlign w:val="center"/>
          </w:tcPr>
          <w:p>
            <w:pPr>
              <w:widowControl/>
              <w:jc w:val="center"/>
              <w:textAlignment w:val="center"/>
              <w:rPr>
                <w:rFonts w:hint="default" w:ascii="Times New Roman" w:hAnsi="Times New Roman" w:eastAsia="仿宋_GB2312" w:cs="Times New Roman"/>
                <w:lang w:val="en-US" w:eastAsia="zh-CN"/>
              </w:rPr>
            </w:pPr>
            <w:r>
              <w:rPr>
                <w:rFonts w:hint="eastAsia" w:ascii="仿宋_GB2312" w:hAnsi="宋体" w:eastAsia="仿宋_GB2312" w:cs="仿宋_GB2312"/>
                <w:kern w:val="0"/>
                <w:szCs w:val="21"/>
              </w:rPr>
              <w:t>≤</w:t>
            </w:r>
            <w:r>
              <w:rPr>
                <w:rFonts w:hint="eastAsia" w:ascii="仿宋_GB2312" w:hAnsi="宋体" w:eastAsia="仿宋_GB2312" w:cs="仿宋_GB2312"/>
                <w:kern w:val="0"/>
                <w:szCs w:val="21"/>
                <w:lang w:val="en-US" w:eastAsia="zh-CN"/>
              </w:rPr>
              <w:t>2.28</w:t>
            </w:r>
            <w:r>
              <w:rPr>
                <w:rFonts w:hint="eastAsia" w:ascii="仿宋_GB2312" w:hAnsi="宋体" w:eastAsia="仿宋_GB2312" w:cs="仿宋_GB2312"/>
                <w:kern w:val="0"/>
                <w:szCs w:val="21"/>
              </w:rPr>
              <w:t>万元/期</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kern w:val="0"/>
                <w:szCs w:val="21"/>
              </w:rPr>
              <w:t>财政预算设定的金额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kern w:val="0"/>
                <w:szCs w:val="21"/>
              </w:rPr>
              <w:t>成本</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numPr>
                <w:ilvl w:val="0"/>
                <w:numId w:val="0"/>
              </w:numPr>
              <w:spacing w:line="300" w:lineRule="exac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优秀成果汇编的成本</w:t>
            </w:r>
          </w:p>
        </w:tc>
        <w:tc>
          <w:tcPr>
            <w:tcW w:w="3402" w:type="dxa"/>
            <w:shd w:val="clear" w:color="auto" w:fill="auto"/>
            <w:vAlign w:val="center"/>
          </w:tcPr>
          <w:p>
            <w:pPr>
              <w:numPr>
                <w:ilvl w:val="0"/>
                <w:numId w:val="0"/>
              </w:numPr>
              <w:spacing w:line="300" w:lineRule="exact"/>
              <w:rPr>
                <w:rFonts w:hint="eastAsia" w:ascii="Times New Roman" w:hAnsi="Times New Roman" w:eastAsia="仿宋_GB2312" w:cs="Times New Roman"/>
                <w:kern w:val="0"/>
                <w:szCs w:val="21"/>
              </w:rPr>
            </w:pPr>
            <w:r>
              <w:rPr>
                <w:rFonts w:hint="eastAsia" w:ascii="Times New Roman" w:hAnsi="Times New Roman" w:eastAsia="仿宋_GB2312" w:cs="Times New Roman"/>
                <w:kern w:val="0"/>
                <w:szCs w:val="21"/>
              </w:rPr>
              <w:t>每本优秀成果汇编所需经费</w:t>
            </w:r>
          </w:p>
        </w:tc>
        <w:tc>
          <w:tcPr>
            <w:tcW w:w="1843" w:type="dxa"/>
            <w:shd w:val="clear" w:color="auto" w:fill="auto"/>
            <w:vAlign w:val="center"/>
          </w:tcPr>
          <w:p>
            <w:pPr>
              <w:widowControl/>
              <w:jc w:val="center"/>
              <w:textAlignment w:val="center"/>
              <w:rPr>
                <w:rFonts w:hint="default" w:ascii="Times New Roman" w:hAnsi="Times New Roman" w:eastAsia="仿宋_GB2312" w:cs="Times New Roman"/>
                <w:lang w:val="en-US" w:eastAsia="zh-CN"/>
              </w:rPr>
            </w:pPr>
            <w:r>
              <w:rPr>
                <w:rFonts w:hint="eastAsia" w:ascii="仿宋_GB2312" w:hAnsi="宋体" w:eastAsia="仿宋_GB2312" w:cs="仿宋_GB2312"/>
                <w:kern w:val="0"/>
                <w:szCs w:val="21"/>
              </w:rPr>
              <w:t>≤</w:t>
            </w:r>
            <w:r>
              <w:rPr>
                <w:rFonts w:hint="eastAsia" w:ascii="仿宋_GB2312" w:hAnsi="宋体" w:eastAsia="仿宋_GB2312" w:cs="仿宋_GB2312"/>
                <w:kern w:val="0"/>
                <w:szCs w:val="21"/>
                <w:lang w:val="en-US" w:eastAsia="zh-CN"/>
              </w:rPr>
              <w:t>150</w:t>
            </w:r>
            <w:r>
              <w:rPr>
                <w:rFonts w:hint="eastAsia" w:ascii="仿宋_GB2312" w:hAnsi="宋体" w:eastAsia="仿宋_GB2312" w:cs="仿宋_GB2312"/>
                <w:kern w:val="0"/>
                <w:szCs w:val="21"/>
              </w:rPr>
              <w:t>元/本</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kern w:val="0"/>
                <w:szCs w:val="21"/>
              </w:rPr>
              <w:t>合同金额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ascii="Times New Roman" w:hAnsi="Times New Roman" w:eastAsia="仿宋_GB2312" w:cs="Times New Roman"/>
                <w:kern w:val="0"/>
                <w:szCs w:val="21"/>
              </w:rPr>
              <w:t>社会效益</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Cs w:val="21"/>
              </w:rPr>
              <w:t>知晓率</w:t>
            </w:r>
          </w:p>
        </w:tc>
        <w:tc>
          <w:tcPr>
            <w:tcW w:w="3402"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 w:val="15"/>
                <w:szCs w:val="15"/>
              </w:rPr>
              <w:t>对《廊坊社会科学》杂志的知晓人数的比例</w:t>
            </w:r>
          </w:p>
        </w:tc>
        <w:tc>
          <w:tcPr>
            <w:tcW w:w="1843" w:type="dxa"/>
            <w:shd w:val="clear" w:color="auto" w:fill="auto"/>
            <w:vAlign w:val="center"/>
          </w:tcPr>
          <w:p>
            <w:pPr>
              <w:widowControl/>
              <w:jc w:val="center"/>
              <w:textAlignment w:val="center"/>
              <w:rPr>
                <w:rFonts w:hint="default" w:ascii="Times New Roman" w:hAnsi="Times New Roman" w:eastAsia="仿宋_GB2312" w:cs="Times New Roman"/>
                <w:lang w:val="en-US" w:eastAsia="zh-CN"/>
              </w:rPr>
            </w:pPr>
            <w:r>
              <w:rPr>
                <w:rFonts w:hint="eastAsia" w:ascii="仿宋_GB2312" w:hAnsi="宋体" w:eastAsia="仿宋_GB2312" w:cs="仿宋_GB2312"/>
                <w:kern w:val="0"/>
                <w:szCs w:val="21"/>
              </w:rPr>
              <w:t>≥</w:t>
            </w:r>
            <w:r>
              <w:rPr>
                <w:rFonts w:hint="eastAsia" w:ascii="仿宋_GB2312" w:hAnsi="宋体" w:eastAsia="仿宋_GB2312" w:cs="仿宋_GB2312"/>
                <w:kern w:val="0"/>
                <w:szCs w:val="21"/>
                <w:lang w:val="en-US" w:eastAsia="zh-CN"/>
              </w:rPr>
              <w:t>90%</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widowControl/>
              <w:jc w:val="center"/>
              <w:rPr>
                <w:rFonts w:ascii="Times New Roman" w:hAnsi="Times New Roman" w:eastAsia="仿宋_GB2312" w:cs="Times New Roman"/>
              </w:rPr>
            </w:pPr>
            <w:r>
              <w:rPr>
                <w:rFonts w:hint="eastAsia" w:ascii="Times New Roman" w:hAnsi="Times New Roman" w:eastAsia="仿宋_GB2312" w:cs="Times New Roman"/>
                <w:kern w:val="0"/>
                <w:szCs w:val="21"/>
                <w:lang w:val="en-US" w:eastAsia="zh-CN"/>
              </w:rPr>
              <w:t>服务对象</w:t>
            </w:r>
            <w:r>
              <w:rPr>
                <w:rFonts w:ascii="Times New Roman" w:hAnsi="Times New Roman" w:eastAsia="仿宋_GB2312" w:cs="Times New Roman"/>
                <w:kern w:val="0"/>
                <w:szCs w:val="21"/>
              </w:rPr>
              <w:t>满意度</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服务对象满意度</w:t>
            </w:r>
          </w:p>
        </w:tc>
        <w:tc>
          <w:tcPr>
            <w:tcW w:w="3402"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 w:val="15"/>
                <w:szCs w:val="15"/>
              </w:rPr>
              <w:t>单位各科室对项目经费使用的满意度</w:t>
            </w:r>
          </w:p>
        </w:tc>
        <w:tc>
          <w:tcPr>
            <w:tcW w:w="1843" w:type="dxa"/>
            <w:shd w:val="clear" w:color="auto" w:fill="auto"/>
            <w:vAlign w:val="center"/>
          </w:tcPr>
          <w:p>
            <w:pPr>
              <w:widowControl/>
              <w:jc w:val="center"/>
              <w:textAlignment w:val="center"/>
              <w:rPr>
                <w:rFonts w:hint="default" w:ascii="Times New Roman" w:hAnsi="Times New Roman" w:eastAsia="仿宋_GB2312" w:cs="Times New Roman"/>
                <w:lang w:val="en-US" w:eastAsia="zh-CN"/>
              </w:rPr>
            </w:pPr>
            <w:r>
              <w:rPr>
                <w:rFonts w:hint="eastAsia" w:ascii="仿宋_GB2312" w:hAnsi="宋体" w:eastAsia="仿宋_GB2312" w:cs="仿宋_GB2312"/>
                <w:kern w:val="0"/>
                <w:szCs w:val="21"/>
              </w:rPr>
              <w:t>≥</w:t>
            </w:r>
            <w:r>
              <w:rPr>
                <w:rFonts w:hint="eastAsia" w:ascii="仿宋_GB2312" w:hAnsi="宋体" w:eastAsia="仿宋_GB2312" w:cs="仿宋_GB2312"/>
                <w:kern w:val="0"/>
                <w:szCs w:val="21"/>
                <w:lang w:val="en-US" w:eastAsia="zh-CN"/>
              </w:rPr>
              <w:t>90%</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经费使用科室满意度调查表</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3</w:t>
      </w:r>
      <w:r>
        <w:rPr>
          <w:rFonts w:ascii="Times New Roman" w:hAnsi="Times New Roman" w:eastAsia="仿宋_GB2312" w:cs="Times New Roman"/>
          <w:sz w:val="28"/>
        </w:rPr>
        <w:t>.</w:t>
      </w:r>
      <w:r>
        <w:rPr>
          <w:rFonts w:hint="eastAsia" w:ascii="Times New Roman" w:hAnsi="Times New Roman" w:eastAsia="仿宋_GB2312" w:cs="Times New Roman"/>
          <w:sz w:val="28"/>
        </w:rPr>
        <w:t>廊坊大讲堂和廊坊市干部理论教育网运行维护费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hint="eastAsia"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1.</w:t>
            </w:r>
            <w:r>
              <w:rPr>
                <w:rFonts w:hint="eastAsia" w:ascii="Times New Roman" w:hAnsi="Times New Roman" w:eastAsia="仿宋_GB2312" w:cs="Times New Roman"/>
                <w:kern w:val="0"/>
                <w:szCs w:val="21"/>
              </w:rPr>
              <w:t>将廊坊大讲堂打造为我市重要的网络学习园地，有效利用网站，宣传党的路线方针政策。</w:t>
            </w:r>
          </w:p>
          <w:p>
            <w:pPr>
              <w:spacing w:line="300" w:lineRule="exact"/>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2.</w:t>
            </w:r>
            <w:r>
              <w:rPr>
                <w:rFonts w:hint="eastAsia" w:ascii="Times New Roman" w:hAnsi="Times New Roman" w:eastAsia="仿宋_GB2312" w:cs="Times New Roman"/>
                <w:kern w:val="0"/>
                <w:szCs w:val="21"/>
              </w:rPr>
              <w:t>廊坊大讲堂</w:t>
            </w:r>
            <w:r>
              <w:rPr>
                <w:rFonts w:ascii="Times New Roman" w:hAnsi="Times New Roman" w:eastAsia="仿宋_GB2312" w:cs="Times New Roman"/>
                <w:kern w:val="0"/>
                <w:szCs w:val="21"/>
              </w:rPr>
              <w:t>上传刊登市委中心组学习和全市理论宣传信息及图片6000条以上，</w:t>
            </w:r>
            <w:r>
              <w:rPr>
                <w:rFonts w:hint="eastAsia" w:ascii="Times New Roman" w:hAnsi="Times New Roman" w:eastAsia="仿宋_GB2312" w:cs="Times New Roman"/>
                <w:kern w:val="0"/>
                <w:szCs w:val="21"/>
              </w:rPr>
              <w:t>廊坊大讲堂</w:t>
            </w:r>
            <w:r>
              <w:rPr>
                <w:rFonts w:ascii="Times New Roman" w:hAnsi="Times New Roman" w:eastAsia="仿宋_GB2312" w:cs="Times New Roman"/>
                <w:kern w:val="0"/>
                <w:szCs w:val="21"/>
              </w:rPr>
              <w:t>网站点击量</w:t>
            </w:r>
            <w:r>
              <w:rPr>
                <w:rFonts w:hint="eastAsia" w:ascii="Times New Roman" w:hAnsi="Times New Roman" w:eastAsia="仿宋_GB2312" w:cs="Times New Roman"/>
                <w:kern w:val="0"/>
                <w:szCs w:val="21"/>
              </w:rPr>
              <w:t>8</w:t>
            </w:r>
            <w:r>
              <w:rPr>
                <w:rFonts w:ascii="Times New Roman" w:hAnsi="Times New Roman" w:eastAsia="仿宋_GB2312" w:cs="Times New Roman"/>
                <w:kern w:val="0"/>
                <w:szCs w:val="21"/>
              </w:rPr>
              <w:t>0000次以上，专人负责网站信息更新发布，保障网站运行的连续性、可靠性，传播科学理论、弘扬优秀文化、传递正能量。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ascii="Times New Roman" w:hAnsi="Times New Roman" w:eastAsia="仿宋_GB2312" w:cs="Times New Roman"/>
                <w:kern w:val="0"/>
                <w:szCs w:val="21"/>
              </w:rPr>
              <w:t>数量</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hint="eastAsia" w:eastAsia="仿宋_GB2312" w:cs="Times New Roman" w:asciiTheme="minorHAnsi" w:hAnsiTheme="minorHAnsi"/>
                <w:kern w:val="0"/>
                <w:sz w:val="18"/>
                <w:szCs w:val="18"/>
              </w:rPr>
              <w:t>理论宣传</w:t>
            </w:r>
            <w:r>
              <w:rPr>
                <w:rFonts w:hint="eastAsia" w:ascii="仿宋_GB2312" w:hAnsi="Times New Roman" w:eastAsia="仿宋_GB2312" w:cs="Times New Roman"/>
                <w:kern w:val="0"/>
                <w:sz w:val="18"/>
                <w:szCs w:val="18"/>
              </w:rPr>
              <w:t>信息数量</w:t>
            </w:r>
          </w:p>
        </w:tc>
        <w:tc>
          <w:tcPr>
            <w:tcW w:w="3402"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Times New Roman" w:eastAsia="仿宋_GB2312" w:cs="Times New Roman"/>
                <w:kern w:val="0"/>
                <w:sz w:val="18"/>
                <w:szCs w:val="18"/>
              </w:rPr>
              <w:t>廊坊大讲堂网站上传市委中心学习组和全市理论宣传的有效信息和图片数量</w:t>
            </w:r>
          </w:p>
        </w:tc>
        <w:tc>
          <w:tcPr>
            <w:tcW w:w="1843" w:type="dxa"/>
            <w:shd w:val="clear" w:color="auto" w:fill="auto"/>
            <w:vAlign w:val="center"/>
          </w:tcPr>
          <w:p>
            <w:pPr>
              <w:widowControl/>
              <w:jc w:val="left"/>
              <w:textAlignment w:val="center"/>
              <w:rPr>
                <w:rFonts w:hint="default" w:ascii="Times New Roman" w:hAnsi="Times New Roman" w:eastAsia="仿宋_GB2312" w:cs="Times New Roman"/>
                <w:lang w:val="en-US" w:eastAsia="zh-CN"/>
              </w:rPr>
            </w:pPr>
            <w:r>
              <w:rPr>
                <w:rFonts w:hint="eastAsia" w:ascii="仿宋_GB2312" w:hAnsi="宋体" w:eastAsia="仿宋_GB2312" w:cs="仿宋_GB2312"/>
                <w:color w:val="000000"/>
                <w:kern w:val="0"/>
                <w:szCs w:val="21"/>
              </w:rPr>
              <w:t>≥</w:t>
            </w:r>
            <w:r>
              <w:rPr>
                <w:rFonts w:hint="eastAsia" w:ascii="仿宋_GB2312" w:hAnsi="宋体" w:eastAsia="仿宋_GB2312" w:cs="仿宋_GB2312"/>
                <w:color w:val="000000"/>
                <w:kern w:val="0"/>
                <w:szCs w:val="21"/>
                <w:lang w:val="en-US" w:eastAsia="zh-CN"/>
              </w:rPr>
              <w:t>6000条</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ascii="Times New Roman" w:hAnsi="Times New Roman" w:eastAsia="仿宋_GB2312" w:cs="Times New Roman"/>
                <w:kern w:val="0"/>
                <w:szCs w:val="21"/>
              </w:rPr>
              <w:t>后台数据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ascii="Times New Roman" w:hAnsi="Times New Roman" w:eastAsia="仿宋_GB2312" w:cs="Times New Roman"/>
                <w:kern w:val="0"/>
                <w:szCs w:val="21"/>
              </w:rPr>
              <w:t>质量</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Times New Roman" w:eastAsia="仿宋_GB2312" w:cs="Times New Roman"/>
                <w:kern w:val="0"/>
                <w:sz w:val="18"/>
                <w:szCs w:val="18"/>
              </w:rPr>
              <w:t>页面设计达标率</w:t>
            </w:r>
          </w:p>
        </w:tc>
        <w:tc>
          <w:tcPr>
            <w:tcW w:w="3402"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Times New Roman" w:eastAsia="仿宋_GB2312" w:cs="Times New Roman"/>
                <w:kern w:val="0"/>
                <w:sz w:val="18"/>
                <w:szCs w:val="18"/>
              </w:rPr>
              <w:t>反映大讲堂网站页面设计达标数量占页面设计数量的比例</w:t>
            </w:r>
          </w:p>
        </w:tc>
        <w:tc>
          <w:tcPr>
            <w:tcW w:w="1843" w:type="dxa"/>
            <w:shd w:val="clear" w:color="auto" w:fill="auto"/>
            <w:vAlign w:val="center"/>
          </w:tcPr>
          <w:p>
            <w:pPr>
              <w:widowControl/>
              <w:jc w:val="left"/>
              <w:textAlignment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100%</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实际发布情况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ascii="Times New Roman" w:hAnsi="Times New Roman" w:eastAsia="仿宋_GB2312" w:cs="Times New Roman"/>
                <w:kern w:val="0"/>
                <w:szCs w:val="21"/>
              </w:rPr>
              <w:t>时效</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Times New Roman" w:eastAsia="仿宋_GB2312" w:cs="Times New Roman"/>
                <w:kern w:val="0"/>
                <w:sz w:val="18"/>
                <w:szCs w:val="18"/>
              </w:rPr>
              <w:t>大讲堂网站技术漏洞修复处理时间</w:t>
            </w:r>
          </w:p>
        </w:tc>
        <w:tc>
          <w:tcPr>
            <w:tcW w:w="3402"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Times New Roman" w:eastAsia="仿宋_GB2312" w:cs="Times New Roman"/>
                <w:kern w:val="0"/>
                <w:sz w:val="18"/>
                <w:szCs w:val="18"/>
              </w:rPr>
              <w:t>大讲堂网站技术漏洞</w:t>
            </w:r>
            <w:r>
              <w:rPr>
                <w:rFonts w:ascii="仿宋_GB2312" w:hAnsi="Times New Roman" w:eastAsia="仿宋_GB2312" w:cs="Times New Roman"/>
                <w:kern w:val="0"/>
                <w:sz w:val="18"/>
                <w:szCs w:val="18"/>
              </w:rPr>
              <w:t>修复平均处理时间</w:t>
            </w:r>
          </w:p>
        </w:tc>
        <w:tc>
          <w:tcPr>
            <w:tcW w:w="1843" w:type="dxa"/>
            <w:shd w:val="clear" w:color="auto" w:fill="auto"/>
            <w:vAlign w:val="center"/>
          </w:tcPr>
          <w:p>
            <w:pPr>
              <w:widowControl/>
              <w:jc w:val="left"/>
              <w:textAlignment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1天</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Times New Roman" w:eastAsia="仿宋_GB2312" w:cs="Times New Roman"/>
                <w:kern w:val="0"/>
                <w:sz w:val="18"/>
                <w:szCs w:val="18"/>
              </w:rPr>
              <w:t>技术漏洞修复实际需要时间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ascii="Times New Roman" w:hAnsi="Times New Roman" w:eastAsia="仿宋_GB2312" w:cs="Times New Roman"/>
                <w:kern w:val="0"/>
                <w:szCs w:val="21"/>
              </w:rPr>
              <w:t>成本</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ascii="Times New Roman" w:hAnsi="Times New Roman" w:eastAsia="仿宋_GB2312" w:cs="Times New Roman"/>
                <w:kern w:val="0"/>
                <w:szCs w:val="21"/>
              </w:rPr>
              <w:t>每季度大讲堂网站运行维护成本</w:t>
            </w:r>
          </w:p>
        </w:tc>
        <w:tc>
          <w:tcPr>
            <w:tcW w:w="3402"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Times New Roman" w:eastAsia="仿宋_GB2312" w:cs="Times New Roman"/>
                <w:kern w:val="0"/>
                <w:sz w:val="18"/>
                <w:szCs w:val="18"/>
              </w:rPr>
              <w:t>每季度大讲堂网站运行维护费</w:t>
            </w:r>
          </w:p>
        </w:tc>
        <w:tc>
          <w:tcPr>
            <w:tcW w:w="1843" w:type="dxa"/>
            <w:shd w:val="clear" w:color="auto" w:fill="auto"/>
            <w:vAlign w:val="center"/>
          </w:tcPr>
          <w:p>
            <w:pPr>
              <w:widowControl/>
              <w:jc w:val="left"/>
              <w:textAlignment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4.95</w:t>
            </w:r>
            <w:r>
              <w:rPr>
                <w:rFonts w:hint="eastAsia" w:ascii="仿宋_GB2312" w:hAnsi="宋体" w:eastAsia="仿宋_GB2312" w:cs="仿宋_GB2312"/>
                <w:color w:val="000000"/>
                <w:kern w:val="0"/>
                <w:szCs w:val="21"/>
              </w:rPr>
              <w:t>万元/季度</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合同金额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ascii="Times New Roman" w:hAnsi="Times New Roman" w:eastAsia="仿宋_GB2312" w:cs="Times New Roman"/>
                <w:kern w:val="0"/>
                <w:szCs w:val="21"/>
              </w:rPr>
              <w:t>成本</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干部理论教育网运行维护成本</w:t>
            </w:r>
          </w:p>
        </w:tc>
        <w:tc>
          <w:tcPr>
            <w:tcW w:w="3402"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Times New Roman" w:eastAsia="仿宋_GB2312" w:cs="Times New Roman"/>
                <w:kern w:val="0"/>
                <w:sz w:val="18"/>
                <w:szCs w:val="18"/>
              </w:rPr>
              <w:t>廊坊市干部理论教育网维护费</w:t>
            </w:r>
          </w:p>
        </w:tc>
        <w:tc>
          <w:tcPr>
            <w:tcW w:w="1843" w:type="dxa"/>
            <w:shd w:val="clear" w:color="auto" w:fill="auto"/>
            <w:vAlign w:val="center"/>
          </w:tcPr>
          <w:p>
            <w:pPr>
              <w:widowControl/>
              <w:jc w:val="left"/>
              <w:textAlignment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1</w:t>
            </w:r>
            <w:r>
              <w:rPr>
                <w:rFonts w:hint="eastAsia" w:ascii="仿宋_GB2312" w:hAnsi="宋体" w:eastAsia="仿宋_GB2312" w:cs="仿宋_GB2312"/>
                <w:color w:val="000000"/>
                <w:kern w:val="0"/>
                <w:szCs w:val="21"/>
              </w:rPr>
              <w:t>万元/年</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合同金额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ascii="Times New Roman" w:hAnsi="Times New Roman" w:eastAsia="仿宋_GB2312" w:cs="Times New Roman"/>
                <w:kern w:val="0"/>
                <w:szCs w:val="21"/>
              </w:rPr>
              <w:t>成本</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大讲堂微信微博维护成本</w:t>
            </w:r>
          </w:p>
        </w:tc>
        <w:tc>
          <w:tcPr>
            <w:tcW w:w="3402"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Times New Roman" w:eastAsia="仿宋_GB2312" w:cs="Times New Roman"/>
                <w:kern w:val="0"/>
                <w:sz w:val="18"/>
                <w:szCs w:val="18"/>
              </w:rPr>
              <w:t>廊坊大讲堂微信微博维护费</w:t>
            </w:r>
          </w:p>
        </w:tc>
        <w:tc>
          <w:tcPr>
            <w:tcW w:w="1843" w:type="dxa"/>
            <w:shd w:val="clear" w:color="auto" w:fill="auto"/>
            <w:vAlign w:val="center"/>
          </w:tcPr>
          <w:p>
            <w:pPr>
              <w:widowControl/>
              <w:jc w:val="left"/>
              <w:textAlignment w:val="center"/>
              <w:rPr>
                <w:rFonts w:hint="eastAsia" w:ascii="Times New Roman" w:hAnsi="Times New Roman" w:eastAsia="仿宋_GB2312" w:cs="Times New Roman"/>
                <w:lang w:val="en-US" w:eastAsia="zh-CN"/>
              </w:rPr>
            </w:pPr>
            <w:r>
              <w:rPr>
                <w:rFonts w:hint="eastAsia"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5</w:t>
            </w:r>
            <w:r>
              <w:rPr>
                <w:rFonts w:hint="eastAsia" w:ascii="仿宋_GB2312" w:hAnsi="宋体" w:eastAsia="仿宋_GB2312" w:cs="仿宋_GB2312"/>
                <w:color w:val="000000"/>
                <w:kern w:val="0"/>
                <w:szCs w:val="21"/>
              </w:rPr>
              <w:t>万元/年</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合同金额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ascii="Times New Roman" w:hAnsi="Times New Roman" w:eastAsia="仿宋_GB2312" w:cs="Times New Roman"/>
                <w:kern w:val="0"/>
                <w:szCs w:val="21"/>
              </w:rPr>
              <w:t>社会效益</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大讲堂网站点击量</w:t>
            </w:r>
          </w:p>
        </w:tc>
        <w:tc>
          <w:tcPr>
            <w:tcW w:w="3402" w:type="dxa"/>
            <w:shd w:val="clear" w:color="auto" w:fill="auto"/>
            <w:vAlign w:val="center"/>
          </w:tcPr>
          <w:p>
            <w:pPr>
              <w:widowControl/>
              <w:jc w:val="left"/>
              <w:textAlignment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kern w:val="0"/>
                <w:szCs w:val="21"/>
              </w:rPr>
              <w:t>大讲堂网站点击数量</w:t>
            </w:r>
            <w:r>
              <w:rPr>
                <w:rFonts w:hint="eastAsia" w:ascii="Times New Roman" w:hAnsi="Times New Roman" w:eastAsia="仿宋_GB2312" w:cs="Times New Roman"/>
                <w:kern w:val="0"/>
                <w:szCs w:val="21"/>
                <w:lang w:val="en-US" w:eastAsia="zh-CN"/>
              </w:rPr>
              <w:t>体现关注度</w:t>
            </w:r>
          </w:p>
        </w:tc>
        <w:tc>
          <w:tcPr>
            <w:tcW w:w="1843" w:type="dxa"/>
            <w:shd w:val="clear" w:color="auto" w:fill="auto"/>
            <w:vAlign w:val="center"/>
          </w:tcPr>
          <w:p>
            <w:pPr>
              <w:widowControl/>
              <w:jc w:val="left"/>
              <w:textAlignment w:val="center"/>
              <w:rPr>
                <w:rFonts w:hint="default" w:ascii="Times New Roman" w:hAnsi="Times New Roman" w:eastAsia="仿宋_GB2312" w:cs="Times New Roman"/>
                <w:lang w:val="en-US" w:eastAsia="zh-CN"/>
              </w:rPr>
            </w:pPr>
            <w:r>
              <w:rPr>
                <w:rFonts w:hint="eastAsia" w:ascii="仿宋_GB2312" w:hAnsi="宋体" w:eastAsia="仿宋_GB2312" w:cs="仿宋_GB2312"/>
                <w:color w:val="000000"/>
                <w:kern w:val="0"/>
                <w:szCs w:val="21"/>
                <w:lang w:val="en-US" w:eastAsia="zh-CN"/>
              </w:rPr>
              <w:t>观众的关注度</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仿宋_GB2312" w:hAnsi="宋体" w:eastAsia="仿宋_GB2312" w:cs="仿宋_GB2312"/>
                <w:color w:val="000000"/>
                <w:kern w:val="0"/>
                <w:szCs w:val="21"/>
              </w:rPr>
              <w:t>后台数值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widowControl/>
              <w:jc w:val="center"/>
              <w:rPr>
                <w:rFonts w:ascii="Times New Roman" w:hAnsi="Times New Roman" w:eastAsia="仿宋_GB2312" w:cs="Times New Roman"/>
              </w:rPr>
            </w:pPr>
            <w:r>
              <w:rPr>
                <w:rFonts w:hint="eastAsia" w:ascii="Times New Roman" w:hAnsi="Times New Roman" w:eastAsia="仿宋_GB2312" w:cs="Times New Roman"/>
                <w:kern w:val="0"/>
                <w:szCs w:val="21"/>
                <w:lang w:val="en-US" w:eastAsia="zh-CN"/>
              </w:rPr>
              <w:t>服务对象</w:t>
            </w:r>
            <w:r>
              <w:rPr>
                <w:rFonts w:ascii="Times New Roman" w:hAnsi="Times New Roman" w:eastAsia="仿宋_GB2312" w:cs="Times New Roman"/>
                <w:kern w:val="0"/>
                <w:szCs w:val="21"/>
              </w:rPr>
              <w:t>满意度</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大</w:t>
            </w:r>
            <w:r>
              <w:rPr>
                <w:rFonts w:ascii="Times New Roman" w:hAnsi="Times New Roman" w:eastAsia="仿宋_GB2312" w:cs="Times New Roman"/>
                <w:kern w:val="0"/>
                <w:szCs w:val="21"/>
              </w:rPr>
              <w:t>讲堂网站用户的满意度</w:t>
            </w:r>
          </w:p>
        </w:tc>
        <w:tc>
          <w:tcPr>
            <w:tcW w:w="3402" w:type="dxa"/>
            <w:shd w:val="clear" w:color="auto" w:fill="auto"/>
            <w:vAlign w:val="center"/>
          </w:tcPr>
          <w:p>
            <w:pPr>
              <w:widowControl/>
              <w:jc w:val="left"/>
              <w:textAlignment w:val="center"/>
              <w:rPr>
                <w:rFonts w:ascii="Times New Roman" w:hAnsi="Times New Roman" w:eastAsia="仿宋_GB2312" w:cs="Times New Roman"/>
              </w:rPr>
            </w:pPr>
            <w:r>
              <w:rPr>
                <w:rFonts w:ascii="Times New Roman" w:hAnsi="Times New Roman" w:eastAsia="仿宋_GB2312" w:cs="Times New Roman"/>
                <w:kern w:val="0"/>
                <w:szCs w:val="21"/>
              </w:rPr>
              <w:t>大讲堂网站用户的满意度评价</w:t>
            </w:r>
          </w:p>
        </w:tc>
        <w:tc>
          <w:tcPr>
            <w:tcW w:w="1843" w:type="dxa"/>
            <w:shd w:val="clear" w:color="auto" w:fill="auto"/>
            <w:vAlign w:val="center"/>
          </w:tcPr>
          <w:p>
            <w:pPr>
              <w:widowControl/>
              <w:jc w:val="left"/>
              <w:textAlignment w:val="center"/>
              <w:rPr>
                <w:rFonts w:hint="default" w:ascii="Times New Roman" w:hAnsi="Times New Roman" w:eastAsia="仿宋_GB2312" w:cs="Times New Roman"/>
                <w:lang w:val="en-US" w:eastAsia="zh-CN"/>
              </w:rPr>
            </w:pPr>
            <w:r>
              <w:rPr>
                <w:rFonts w:hint="eastAsia" w:ascii="仿宋_GB2312" w:hAnsi="宋体" w:eastAsia="仿宋_GB2312" w:cs="仿宋_GB2312"/>
                <w:color w:val="000000"/>
                <w:kern w:val="0"/>
                <w:szCs w:val="21"/>
              </w:rPr>
              <w:t>≥</w:t>
            </w:r>
            <w:r>
              <w:rPr>
                <w:rFonts w:hint="eastAsia" w:ascii="仿宋_GB2312" w:hAnsi="宋体" w:eastAsia="仿宋_GB2312" w:cs="仿宋_GB2312"/>
                <w:color w:val="000000"/>
                <w:kern w:val="0"/>
                <w:szCs w:val="21"/>
                <w:lang w:val="en-US" w:eastAsia="zh-C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kern w:val="0"/>
                <w:szCs w:val="21"/>
              </w:rPr>
              <w:t>调查问卷</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4</w:t>
      </w:r>
      <w:r>
        <w:rPr>
          <w:rFonts w:ascii="Times New Roman" w:hAnsi="Times New Roman" w:eastAsia="仿宋_GB2312" w:cs="Times New Roman"/>
          <w:sz w:val="28"/>
        </w:rPr>
        <w:t>.</w:t>
      </w:r>
      <w:r>
        <w:rPr>
          <w:rFonts w:hint="eastAsia" w:ascii="Times New Roman" w:hAnsi="Times New Roman" w:eastAsia="仿宋_GB2312" w:cs="Times New Roman"/>
          <w:sz w:val="28"/>
        </w:rPr>
        <w:t>社科宣传普及教育和管理经费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1.</w:t>
            </w:r>
            <w:r>
              <w:rPr>
                <w:rFonts w:hint="eastAsia" w:ascii="Times New Roman" w:hAnsi="Times New Roman" w:eastAsia="仿宋_GB2312" w:cs="Times New Roman"/>
                <w:kern w:val="0"/>
                <w:szCs w:val="21"/>
              </w:rPr>
              <w:t>通过组织指导社科界开展社科宣传普及工作，赴社科普及基地调研，赠送社科普及书籍和宣传材料，推动社科工作在基层拓展延伸，全面提高公众的社会科学文化素质，充分发挥社会科学对经济和社会发展的促进作用。</w:t>
            </w:r>
          </w:p>
          <w:p>
            <w:pPr>
              <w:spacing w:line="300" w:lineRule="exact"/>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2.</w:t>
            </w:r>
            <w:r>
              <w:rPr>
                <w:rFonts w:hint="eastAsia" w:ascii="Times New Roman" w:hAnsi="Times New Roman" w:eastAsia="仿宋_GB2312" w:cs="Times New Roman"/>
                <w:kern w:val="0"/>
                <w:szCs w:val="21"/>
              </w:rPr>
              <w:t>通过组织指导社科界开展社科普及活动，赴社科普及基地调研，购买编辑印刷发放社科普及材料，将党的方针政策和社科普及知识宣传进基层，提升社科普及覆盖面和影响力。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ascii="Times New Roman" w:hAnsi="Times New Roman" w:eastAsia="仿宋_GB2312" w:cs="Times New Roman"/>
                <w:kern w:val="0"/>
                <w:szCs w:val="21"/>
              </w:rPr>
              <w:t>数量</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Cs w:val="21"/>
              </w:rPr>
              <w:t>社科普及活动场次</w:t>
            </w:r>
          </w:p>
        </w:tc>
        <w:tc>
          <w:tcPr>
            <w:tcW w:w="3402"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Cs w:val="21"/>
              </w:rPr>
              <w:t>组织开展社科普及活动场次</w:t>
            </w:r>
          </w:p>
        </w:tc>
        <w:tc>
          <w:tcPr>
            <w:tcW w:w="1843" w:type="dxa"/>
            <w:shd w:val="clear" w:color="auto" w:fill="auto"/>
            <w:vAlign w:val="center"/>
          </w:tcPr>
          <w:p>
            <w:pPr>
              <w:widowControl/>
              <w:jc w:val="left"/>
              <w:textAlignment w:val="center"/>
              <w:rPr>
                <w:rFonts w:hint="default" w:ascii="Times New Roman" w:hAnsi="Times New Roman" w:eastAsia="仿宋_GB2312" w:cs="Times New Roman"/>
                <w:lang w:val="en-US" w:eastAsia="zh-CN"/>
              </w:rPr>
            </w:pPr>
            <w:r>
              <w:rPr>
                <w:rFonts w:hint="eastAsia"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lang w:val="en-US" w:eastAsia="zh-CN"/>
              </w:rPr>
              <w:t>4次</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ascii="Times New Roman" w:hAnsi="Times New Roman" w:eastAsia="仿宋_GB2312" w:cs="Times New Roman"/>
                <w:kern w:val="0"/>
                <w:szCs w:val="21"/>
              </w:rPr>
              <w:t>质量</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Cs w:val="21"/>
              </w:rPr>
              <w:t>好评率</w:t>
            </w:r>
          </w:p>
        </w:tc>
        <w:tc>
          <w:tcPr>
            <w:tcW w:w="3402"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Cs w:val="21"/>
              </w:rPr>
              <w:t>活动受到干部群众好评场次的比例</w:t>
            </w:r>
          </w:p>
        </w:tc>
        <w:tc>
          <w:tcPr>
            <w:tcW w:w="1843" w:type="dxa"/>
            <w:shd w:val="clear" w:color="auto" w:fill="auto"/>
            <w:vAlign w:val="center"/>
          </w:tcPr>
          <w:p>
            <w:pPr>
              <w:widowControl/>
              <w:jc w:val="left"/>
              <w:textAlignment w:val="center"/>
              <w:rPr>
                <w:rFonts w:hint="default" w:ascii="Times New Roman" w:hAnsi="Times New Roman" w:eastAsia="仿宋_GB2312" w:cs="Times New Roman"/>
                <w:lang w:val="en-US" w:eastAsia="zh-CN"/>
              </w:rPr>
            </w:pPr>
            <w:r>
              <w:rPr>
                <w:rFonts w:hint="eastAsia"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lang w:val="en-US" w:eastAsia="zh-CN"/>
              </w:rPr>
              <w:t>90%</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ascii="Times New Roman" w:hAnsi="Times New Roman" w:eastAsia="仿宋_GB2312" w:cs="Times New Roman"/>
                <w:kern w:val="0"/>
                <w:szCs w:val="21"/>
              </w:rPr>
              <w:t>时效</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Cs w:val="21"/>
              </w:rPr>
              <w:t>及时性</w:t>
            </w:r>
          </w:p>
        </w:tc>
        <w:tc>
          <w:tcPr>
            <w:tcW w:w="3402"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Cs w:val="21"/>
              </w:rPr>
              <w:t>按照省社科普及月通知安排时间</w:t>
            </w:r>
          </w:p>
        </w:tc>
        <w:tc>
          <w:tcPr>
            <w:tcW w:w="1843" w:type="dxa"/>
            <w:shd w:val="clear" w:color="auto" w:fill="auto"/>
            <w:vAlign w:val="center"/>
          </w:tcPr>
          <w:p>
            <w:pPr>
              <w:widowControl/>
              <w:jc w:val="left"/>
              <w:textAlignment w:val="center"/>
              <w:rPr>
                <w:rFonts w:hint="default" w:ascii="Times New Roman" w:hAnsi="Times New Roman" w:eastAsia="仿宋_GB2312" w:cs="Times New Roman"/>
                <w:lang w:val="en-US" w:eastAsia="zh-CN"/>
              </w:rPr>
            </w:pPr>
            <w:r>
              <w:rPr>
                <w:rFonts w:hint="eastAsia"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lang w:val="en-US" w:eastAsia="zh-CN"/>
              </w:rPr>
              <w:t>1天</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ascii="Times New Roman" w:hAnsi="Times New Roman" w:eastAsia="仿宋_GB2312" w:cs="Times New Roman"/>
                <w:kern w:val="0"/>
                <w:szCs w:val="21"/>
              </w:rPr>
              <w:t>成本</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ascii="仿宋_GB2312" w:hAnsi="宋体" w:eastAsia="仿宋_GB2312" w:cs="仿宋_GB2312"/>
                <w:color w:val="000000"/>
                <w:kern w:val="0"/>
                <w:szCs w:val="21"/>
              </w:rPr>
              <w:t>社科理论书籍</w:t>
            </w:r>
            <w:r>
              <w:rPr>
                <w:rFonts w:hint="eastAsia" w:ascii="仿宋_GB2312" w:hAnsi="宋体" w:eastAsia="仿宋_GB2312" w:cs="仿宋_GB2312"/>
                <w:color w:val="000000"/>
                <w:kern w:val="0"/>
                <w:szCs w:val="21"/>
              </w:rPr>
              <w:t>的成本</w:t>
            </w:r>
          </w:p>
        </w:tc>
        <w:tc>
          <w:tcPr>
            <w:tcW w:w="3402"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Cs w:val="21"/>
              </w:rPr>
              <w:t>为基地购买的每本社科理论书籍所需经费</w:t>
            </w:r>
          </w:p>
        </w:tc>
        <w:tc>
          <w:tcPr>
            <w:tcW w:w="1843" w:type="dxa"/>
            <w:shd w:val="clear" w:color="auto" w:fill="auto"/>
            <w:vAlign w:val="center"/>
          </w:tcPr>
          <w:p>
            <w:pPr>
              <w:widowControl/>
              <w:jc w:val="left"/>
              <w:textAlignment w:val="center"/>
              <w:rPr>
                <w:rFonts w:hint="default" w:ascii="Times New Roman" w:hAnsi="Times New Roman" w:eastAsia="仿宋_GB2312" w:cs="Times New Roman"/>
                <w:lang w:val="en-US" w:eastAsia="zh-CN"/>
              </w:rPr>
            </w:pPr>
            <w:r>
              <w:rPr>
                <w:rFonts w:hint="eastAsia"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lang w:val="en-US" w:eastAsia="zh-CN"/>
              </w:rPr>
              <w:t>50</w:t>
            </w:r>
            <w:r>
              <w:rPr>
                <w:rFonts w:hint="eastAsia" w:ascii="仿宋_GB2312" w:hAnsi="宋体" w:eastAsia="仿宋_GB2312" w:cs="仿宋_GB2312"/>
                <w:color w:val="000000"/>
                <w:kern w:val="0"/>
                <w:szCs w:val="21"/>
              </w:rPr>
              <w:t>元/本</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Cs w:val="21"/>
              </w:rPr>
              <w:t>财政预算设定的金额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ascii="Times New Roman" w:hAnsi="Times New Roman" w:eastAsia="仿宋_GB2312" w:cs="Times New Roman"/>
                <w:kern w:val="0"/>
                <w:szCs w:val="21"/>
              </w:rPr>
              <w:t>成本</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Cs w:val="21"/>
              </w:rPr>
              <w:t>聘请教师成本</w:t>
            </w:r>
          </w:p>
        </w:tc>
        <w:tc>
          <w:tcPr>
            <w:tcW w:w="3402"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Times New Roman" w:eastAsia="仿宋_GB2312" w:cs="Times New Roman"/>
                <w:kern w:val="0"/>
                <w:szCs w:val="21"/>
              </w:rPr>
              <w:t>社科普及讲座聘请教师每位教师所需经费</w:t>
            </w:r>
          </w:p>
        </w:tc>
        <w:tc>
          <w:tcPr>
            <w:tcW w:w="1843" w:type="dxa"/>
            <w:shd w:val="clear" w:color="auto" w:fill="auto"/>
            <w:vAlign w:val="center"/>
          </w:tcPr>
          <w:p>
            <w:pPr>
              <w:widowControl/>
              <w:jc w:val="left"/>
              <w:textAlignment w:val="center"/>
              <w:rPr>
                <w:rFonts w:hint="default" w:ascii="Times New Roman" w:hAnsi="Times New Roman" w:eastAsia="仿宋_GB2312" w:cs="Times New Roman"/>
                <w:lang w:val="en-US" w:eastAsia="zh-CN"/>
              </w:rPr>
            </w:pPr>
            <w:r>
              <w:rPr>
                <w:rFonts w:hint="eastAsia" w:ascii="仿宋_GB2312" w:hAnsi="宋体" w:eastAsia="仿宋_GB2312" w:cs="仿宋_GB2312"/>
                <w:color w:val="000000"/>
                <w:kern w:val="0"/>
                <w:sz w:val="24"/>
                <w:szCs w:val="24"/>
              </w:rPr>
              <w:t>≤</w:t>
            </w:r>
            <w:r>
              <w:rPr>
                <w:rFonts w:hint="eastAsia" w:ascii="仿宋_GB2312" w:hAnsi="宋体" w:eastAsia="仿宋_GB2312" w:cs="仿宋_GB2312"/>
                <w:color w:val="000000"/>
                <w:kern w:val="0"/>
                <w:sz w:val="24"/>
                <w:szCs w:val="24"/>
                <w:lang w:val="en-US" w:eastAsia="zh-CN"/>
              </w:rPr>
              <w:t>0.1</w:t>
            </w:r>
            <w:r>
              <w:rPr>
                <w:rFonts w:hint="eastAsia" w:ascii="仿宋_GB2312" w:hAnsi="宋体" w:eastAsia="仿宋_GB2312" w:cs="仿宋_GB2312"/>
                <w:color w:val="000000"/>
                <w:kern w:val="0"/>
                <w:szCs w:val="21"/>
              </w:rPr>
              <w:t>万元/人</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Cs w:val="21"/>
              </w:rPr>
              <w:t>财政预算设定的金额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widowControl/>
              <w:jc w:val="center"/>
              <w:textAlignment w:val="center"/>
              <w:rPr>
                <w:rFonts w:hint="eastAsia" w:ascii="Times New Roman" w:hAnsi="Times New Roman" w:eastAsia="仿宋_GB2312" w:cs="Times New Roman"/>
                <w:lang w:val="en-US" w:eastAsia="zh-CN"/>
              </w:rPr>
            </w:pPr>
            <w:r>
              <w:rPr>
                <w:rFonts w:hint="eastAsia" w:ascii="仿宋_GB2312" w:hAnsi="Times New Roman" w:eastAsia="仿宋_GB2312" w:cs="Times New Roman"/>
                <w:kern w:val="0"/>
                <w:szCs w:val="21"/>
              </w:rPr>
              <w:t>社会效益</w:t>
            </w:r>
            <w:r>
              <w:rPr>
                <w:rFonts w:hint="eastAsia" w:ascii="仿宋_GB2312" w:hAnsi="Times New Roman" w:eastAsia="仿宋_GB2312" w:cs="Times New Roman"/>
                <w:kern w:val="0"/>
                <w:szCs w:val="21"/>
                <w:lang w:val="en-US" w:eastAsia="zh-CN"/>
              </w:rPr>
              <w:t>指标</w:t>
            </w: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Times New Roman" w:eastAsia="仿宋_GB2312" w:cs="Times New Roman"/>
                <w:kern w:val="0"/>
                <w:szCs w:val="21"/>
              </w:rPr>
              <w:t>知晓率</w:t>
            </w:r>
          </w:p>
        </w:tc>
        <w:tc>
          <w:tcPr>
            <w:tcW w:w="3402"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Times New Roman" w:eastAsia="仿宋_GB2312" w:cs="Times New Roman"/>
                <w:kern w:val="0"/>
                <w:szCs w:val="21"/>
              </w:rPr>
              <w:t>对活动的知晓人数比例</w:t>
            </w:r>
          </w:p>
        </w:tc>
        <w:tc>
          <w:tcPr>
            <w:tcW w:w="1843" w:type="dxa"/>
            <w:shd w:val="clear" w:color="auto" w:fill="auto"/>
            <w:vAlign w:val="center"/>
          </w:tcPr>
          <w:p>
            <w:pPr>
              <w:widowControl/>
              <w:jc w:val="left"/>
              <w:textAlignment w:val="center"/>
              <w:rPr>
                <w:rFonts w:hint="default" w:ascii="Times New Roman" w:hAnsi="Times New Roman" w:eastAsia="仿宋_GB2312" w:cs="Times New Roman"/>
                <w:lang w:val="en-US" w:eastAsia="zh-CN"/>
              </w:rPr>
            </w:pPr>
            <w:r>
              <w:rPr>
                <w:rFonts w:hint="eastAsia" w:ascii="仿宋_GB2312" w:hAnsi="Times New Roman" w:eastAsia="仿宋_GB2312" w:cs="Times New Roman"/>
                <w:kern w:val="0"/>
                <w:szCs w:val="21"/>
              </w:rPr>
              <w:t>≥</w:t>
            </w:r>
            <w:r>
              <w:rPr>
                <w:rFonts w:hint="eastAsia" w:ascii="仿宋_GB2312" w:hAnsi="Times New Roman" w:eastAsia="仿宋_GB2312" w:cs="Times New Roman"/>
                <w:kern w:val="0"/>
                <w:szCs w:val="21"/>
                <w:lang w:val="en-US" w:eastAsia="zh-CN"/>
              </w:rPr>
              <w:t>90%</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Times New Roman" w:eastAsia="仿宋_GB2312" w:cs="Times New Roman"/>
                <w:kern w:val="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widowControl/>
              <w:jc w:val="center"/>
              <w:textAlignment w:val="center"/>
              <w:rPr>
                <w:rFonts w:ascii="Times New Roman" w:hAnsi="Times New Roman" w:eastAsia="仿宋_GB2312" w:cs="Times New Roman"/>
              </w:rPr>
            </w:pPr>
            <w:r>
              <w:rPr>
                <w:rFonts w:hint="eastAsia" w:ascii="Times New Roman" w:hAnsi="Times New Roman" w:eastAsia="仿宋_GB2312" w:cs="Times New Roman"/>
                <w:kern w:val="0"/>
                <w:szCs w:val="21"/>
                <w:lang w:val="en-US" w:eastAsia="zh-CN"/>
              </w:rPr>
              <w:t>服务对象</w:t>
            </w:r>
            <w:r>
              <w:rPr>
                <w:rFonts w:ascii="Times New Roman" w:hAnsi="Times New Roman" w:eastAsia="仿宋_GB2312" w:cs="Times New Roman"/>
                <w:kern w:val="0"/>
                <w:szCs w:val="21"/>
              </w:rPr>
              <w:t>满意度</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Times New Roman" w:eastAsia="仿宋_GB2312" w:cs="Times New Roman"/>
                <w:kern w:val="0"/>
                <w:szCs w:val="21"/>
              </w:rPr>
              <w:t>满意率</w:t>
            </w:r>
          </w:p>
        </w:tc>
        <w:tc>
          <w:tcPr>
            <w:tcW w:w="3402"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Times New Roman" w:eastAsia="仿宋_GB2312" w:cs="Times New Roman"/>
                <w:kern w:val="0"/>
                <w:szCs w:val="21"/>
              </w:rPr>
              <w:t>对活动给予好评的人数的比例</w:t>
            </w:r>
          </w:p>
        </w:tc>
        <w:tc>
          <w:tcPr>
            <w:tcW w:w="1843" w:type="dxa"/>
            <w:shd w:val="clear" w:color="auto" w:fill="auto"/>
            <w:vAlign w:val="center"/>
          </w:tcPr>
          <w:p>
            <w:pPr>
              <w:widowControl/>
              <w:jc w:val="left"/>
              <w:textAlignment w:val="center"/>
              <w:rPr>
                <w:rFonts w:hint="default" w:ascii="Times New Roman" w:hAnsi="Times New Roman" w:eastAsia="仿宋_GB2312" w:cs="Times New Roman"/>
                <w:lang w:val="en-US" w:eastAsia="zh-CN"/>
              </w:rPr>
            </w:pPr>
            <w:r>
              <w:rPr>
                <w:rFonts w:hint="eastAsia" w:ascii="仿宋_GB2312" w:hAnsi="Times New Roman" w:eastAsia="仿宋_GB2312" w:cs="Times New Roman"/>
                <w:kern w:val="0"/>
                <w:szCs w:val="21"/>
              </w:rPr>
              <w:t>≥</w:t>
            </w:r>
            <w:r>
              <w:rPr>
                <w:rFonts w:hint="eastAsia" w:ascii="仿宋_GB2312" w:hAnsi="Times New Roman" w:eastAsia="仿宋_GB2312" w:cs="Times New Roman"/>
                <w:kern w:val="0"/>
                <w:szCs w:val="21"/>
                <w:lang w:val="en-US" w:eastAsia="zh-CN"/>
              </w:rPr>
              <w:t>90%</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Times New Roman" w:eastAsia="仿宋_GB2312" w:cs="Times New Roman"/>
                <w:kern w:val="0"/>
                <w:szCs w:val="21"/>
              </w:rPr>
              <w:t>工作计划</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5</w:t>
      </w:r>
      <w:r>
        <w:rPr>
          <w:rFonts w:ascii="Times New Roman" w:hAnsi="Times New Roman" w:eastAsia="仿宋_GB2312" w:cs="Times New Roman"/>
          <w:sz w:val="28"/>
        </w:rPr>
        <w:t>.</w:t>
      </w:r>
      <w:r>
        <w:rPr>
          <w:rFonts w:hint="eastAsia" w:ascii="Times New Roman" w:hAnsi="Times New Roman" w:eastAsia="仿宋_GB2312" w:cs="Times New Roman"/>
          <w:sz w:val="28"/>
        </w:rPr>
        <w:t>深入推进马克思主义理论研究和建设工程专项重点课题经费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1.</w:t>
            </w:r>
            <w:r>
              <w:rPr>
                <w:rFonts w:hint="eastAsia" w:ascii="Times New Roman" w:hAnsi="Times New Roman" w:eastAsia="仿宋_GB2312" w:cs="Times New Roman"/>
                <w:kern w:val="0"/>
                <w:szCs w:val="21"/>
              </w:rPr>
              <w:t>通过组织我市理论社科专家开展马克思主义理论研究和建设工程课题研究，推出一批高质量的研究成果，为市委市政府科学决策提供理论依据和智力支撑。</w:t>
            </w:r>
          </w:p>
          <w:p>
            <w:pPr>
              <w:spacing w:line="300" w:lineRule="exact"/>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2.</w:t>
            </w:r>
            <w:r>
              <w:rPr>
                <w:rFonts w:hint="eastAsia" w:ascii="Times New Roman" w:hAnsi="Times New Roman" w:eastAsia="仿宋_GB2312" w:cs="Times New Roman"/>
                <w:kern w:val="0"/>
                <w:szCs w:val="21"/>
              </w:rPr>
              <w:t>通过开展项目推出研究成果</w:t>
            </w:r>
            <w:r>
              <w:rPr>
                <w:rFonts w:ascii="Times New Roman" w:hAnsi="Times New Roman" w:eastAsia="仿宋_GB2312" w:cs="Times New Roman"/>
                <w:kern w:val="0"/>
                <w:szCs w:val="21"/>
              </w:rPr>
              <w:t>7</w:t>
            </w:r>
            <w:r>
              <w:rPr>
                <w:rFonts w:hint="eastAsia" w:ascii="Times New Roman" w:hAnsi="Times New Roman" w:eastAsia="仿宋_GB2312" w:cs="Times New Roman"/>
                <w:kern w:val="0"/>
                <w:szCs w:val="21"/>
              </w:rPr>
              <w:t>0项，为廊坊经济社会发展和市委市政府科学决策献智献策。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vMerge w:val="restart"/>
            <w:shd w:val="clear" w:color="auto" w:fill="auto"/>
            <w:vAlign w:val="center"/>
          </w:tcPr>
          <w:p>
            <w:pPr>
              <w:widowControl/>
              <w:jc w:val="center"/>
              <w:rPr>
                <w:rFonts w:hint="eastAsia" w:ascii="Times New Roman" w:hAnsi="Times New Roman" w:eastAsia="仿宋_GB2312" w:cs="Times New Roman"/>
                <w:lang w:val="en-US" w:eastAsia="zh-CN"/>
              </w:rPr>
            </w:pPr>
            <w:r>
              <w:rPr>
                <w:rFonts w:ascii="Times New Roman" w:hAnsi="Times New Roman" w:eastAsia="仿宋_GB2312" w:cs="Times New Roman"/>
                <w:kern w:val="0"/>
                <w:szCs w:val="21"/>
              </w:rPr>
              <w:t>数量</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Cs w:val="21"/>
              </w:rPr>
              <w:t>重点指令课题</w:t>
            </w:r>
          </w:p>
        </w:tc>
        <w:tc>
          <w:tcPr>
            <w:tcW w:w="3402"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重点研究的课题项目</w:t>
            </w:r>
          </w:p>
        </w:tc>
        <w:tc>
          <w:tcPr>
            <w:tcW w:w="1843" w:type="dxa"/>
            <w:shd w:val="clear" w:color="auto" w:fill="auto"/>
            <w:vAlign w:val="center"/>
          </w:tcPr>
          <w:p>
            <w:pPr>
              <w:widowControl/>
              <w:jc w:val="center"/>
              <w:textAlignment w:val="center"/>
              <w:rPr>
                <w:rFonts w:hint="default" w:ascii="Times New Roman" w:hAnsi="Times New Roman" w:eastAsia="仿宋_GB2312" w:cs="Times New Roman"/>
                <w:lang w:val="en-US" w:eastAsia="zh-CN"/>
              </w:rPr>
            </w:pPr>
            <w:r>
              <w:rPr>
                <w:rFonts w:hint="eastAsia" w:ascii="仿宋_GB2312" w:hAnsi="宋体" w:eastAsia="仿宋_GB2312" w:cs="仿宋_GB2312"/>
                <w:color w:val="000000"/>
                <w:kern w:val="0"/>
                <w:szCs w:val="21"/>
              </w:rPr>
              <w:t>≥</w:t>
            </w:r>
            <w:r>
              <w:rPr>
                <w:rFonts w:hint="eastAsia" w:ascii="仿宋_GB2312" w:hAnsi="宋体" w:eastAsia="仿宋_GB2312" w:cs="仿宋_GB2312"/>
                <w:color w:val="000000"/>
                <w:kern w:val="0"/>
                <w:szCs w:val="21"/>
                <w:lang w:val="en-US" w:eastAsia="zh-CN"/>
              </w:rPr>
              <w:t>10项</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vMerge w:val="continue"/>
            <w:shd w:val="clear" w:color="auto" w:fill="auto"/>
            <w:vAlign w:val="center"/>
          </w:tcPr>
          <w:p>
            <w:pPr>
              <w:widowControl/>
              <w:jc w:val="left"/>
              <w:textAlignment w:val="center"/>
              <w:rPr>
                <w:rFonts w:ascii="Times New Roman" w:hAnsi="Times New Roman" w:eastAsia="仿宋_GB2312" w:cs="Times New Roman"/>
              </w:rPr>
            </w:pP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Cs w:val="21"/>
              </w:rPr>
              <w:t>一般指令课题</w:t>
            </w:r>
          </w:p>
        </w:tc>
        <w:tc>
          <w:tcPr>
            <w:tcW w:w="3402"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Cs w:val="21"/>
              </w:rPr>
              <w:t>一般研究项目</w:t>
            </w:r>
          </w:p>
        </w:tc>
        <w:tc>
          <w:tcPr>
            <w:tcW w:w="1843" w:type="dxa"/>
            <w:shd w:val="clear" w:color="auto" w:fill="auto"/>
            <w:vAlign w:val="center"/>
          </w:tcPr>
          <w:p>
            <w:pPr>
              <w:widowControl/>
              <w:jc w:val="center"/>
              <w:textAlignment w:val="center"/>
              <w:rPr>
                <w:rFonts w:hint="default" w:ascii="Times New Roman" w:hAnsi="Times New Roman" w:eastAsia="仿宋_GB2312" w:cs="Times New Roman"/>
                <w:lang w:val="en-US" w:eastAsia="zh-CN"/>
              </w:rPr>
            </w:pPr>
            <w:r>
              <w:rPr>
                <w:rFonts w:hint="eastAsia" w:ascii="仿宋_GB2312" w:hAnsi="宋体" w:eastAsia="仿宋_GB2312" w:cs="仿宋_GB2312"/>
                <w:color w:val="000000"/>
                <w:kern w:val="0"/>
                <w:szCs w:val="21"/>
              </w:rPr>
              <w:t>≥</w:t>
            </w:r>
            <w:r>
              <w:rPr>
                <w:rFonts w:hint="eastAsia" w:ascii="仿宋_GB2312" w:hAnsi="宋体" w:eastAsia="仿宋_GB2312" w:cs="仿宋_GB2312"/>
                <w:color w:val="000000"/>
                <w:kern w:val="0"/>
                <w:szCs w:val="21"/>
                <w:lang w:val="en-US" w:eastAsia="zh-CN"/>
              </w:rPr>
              <w:t>40项</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ascii="Times New Roman" w:hAnsi="Times New Roman" w:eastAsia="仿宋_GB2312" w:cs="Times New Roman"/>
                <w:kern w:val="0"/>
                <w:szCs w:val="21"/>
              </w:rPr>
              <w:t>质量</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Cs w:val="21"/>
              </w:rPr>
              <w:t>理论研究成果优秀率</w:t>
            </w:r>
          </w:p>
        </w:tc>
        <w:tc>
          <w:tcPr>
            <w:tcW w:w="3402"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 w:val="18"/>
                <w:szCs w:val="18"/>
              </w:rPr>
              <w:t>推出的研究成果中被评为优秀等级的研究成果所占百分比</w:t>
            </w:r>
          </w:p>
        </w:tc>
        <w:tc>
          <w:tcPr>
            <w:tcW w:w="1843" w:type="dxa"/>
            <w:shd w:val="clear" w:color="auto" w:fill="auto"/>
            <w:vAlign w:val="center"/>
          </w:tcPr>
          <w:p>
            <w:pPr>
              <w:widowControl/>
              <w:jc w:val="center"/>
              <w:textAlignment w:val="center"/>
              <w:rPr>
                <w:rFonts w:hint="default" w:ascii="Times New Roman" w:hAnsi="Times New Roman" w:eastAsia="仿宋_GB2312" w:cs="Times New Roman"/>
                <w:lang w:val="en-US" w:eastAsia="zh-CN"/>
              </w:rPr>
            </w:pPr>
            <w:r>
              <w:rPr>
                <w:rFonts w:hint="eastAsia" w:ascii="仿宋_GB2312" w:hAnsi="宋体" w:eastAsia="仿宋_GB2312" w:cs="仿宋_GB2312"/>
                <w:color w:val="000000"/>
                <w:kern w:val="0"/>
                <w:szCs w:val="21"/>
              </w:rPr>
              <w:t>≥</w:t>
            </w:r>
            <w:r>
              <w:rPr>
                <w:rFonts w:hint="eastAsia" w:ascii="仿宋_GB2312" w:hAnsi="宋体" w:eastAsia="仿宋_GB2312" w:cs="仿宋_GB2312"/>
                <w:color w:val="000000"/>
                <w:kern w:val="0"/>
                <w:szCs w:val="21"/>
                <w:lang w:val="en-US" w:eastAsia="zh-CN"/>
              </w:rPr>
              <w:t>40%</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Cs w:val="21"/>
              </w:rPr>
              <w:t>专家评审意见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ascii="Times New Roman" w:hAnsi="Times New Roman" w:eastAsia="仿宋_GB2312" w:cs="Times New Roman"/>
                <w:kern w:val="0"/>
                <w:szCs w:val="21"/>
              </w:rPr>
              <w:t>时效</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Cs w:val="21"/>
              </w:rPr>
              <w:t>及时结项</w:t>
            </w:r>
          </w:p>
        </w:tc>
        <w:tc>
          <w:tcPr>
            <w:tcW w:w="3402"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 w:val="18"/>
                <w:szCs w:val="18"/>
              </w:rPr>
              <w:t>课题负责人申报结项后，经审核符合结项要求的及时给予结项</w:t>
            </w:r>
          </w:p>
        </w:tc>
        <w:tc>
          <w:tcPr>
            <w:tcW w:w="1843" w:type="dxa"/>
            <w:shd w:val="clear" w:color="auto" w:fill="auto"/>
            <w:vAlign w:val="center"/>
          </w:tcPr>
          <w:p>
            <w:pPr>
              <w:widowControl/>
              <w:jc w:val="center"/>
              <w:textAlignment w:val="center"/>
              <w:rPr>
                <w:rFonts w:hint="default" w:ascii="Times New Roman" w:hAnsi="Times New Roman" w:eastAsia="仿宋_GB2312" w:cs="Times New Roman"/>
                <w:lang w:val="en-US" w:eastAsia="zh-CN"/>
              </w:rPr>
            </w:pPr>
            <w:r>
              <w:rPr>
                <w:rFonts w:hint="eastAsia" w:ascii="仿宋_GB2312" w:hAnsi="宋体" w:eastAsia="仿宋_GB2312" w:cs="仿宋_GB2312"/>
                <w:color w:val="000000"/>
                <w:kern w:val="0"/>
                <w:szCs w:val="21"/>
              </w:rPr>
              <w:t>≥</w:t>
            </w:r>
            <w:r>
              <w:rPr>
                <w:rFonts w:hint="eastAsia" w:ascii="仿宋_GB2312" w:hAnsi="宋体" w:eastAsia="仿宋_GB2312" w:cs="仿宋_GB2312"/>
                <w:color w:val="000000"/>
                <w:kern w:val="0"/>
                <w:szCs w:val="21"/>
                <w:lang w:val="en-US" w:eastAsia="zh-CN"/>
              </w:rPr>
              <w:t>80%</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Cs w:val="21"/>
              </w:rPr>
              <w:t>根据课题负责人研究进度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vMerge w:val="restart"/>
            <w:shd w:val="clear" w:color="auto" w:fill="auto"/>
            <w:vAlign w:val="center"/>
          </w:tcPr>
          <w:p>
            <w:pPr>
              <w:widowControl/>
              <w:jc w:val="center"/>
              <w:rPr>
                <w:rFonts w:hint="eastAsia" w:ascii="Times New Roman" w:hAnsi="Times New Roman" w:eastAsia="仿宋_GB2312" w:cs="Times New Roman"/>
                <w:lang w:val="en-US" w:eastAsia="zh-CN"/>
              </w:rPr>
            </w:pPr>
            <w:r>
              <w:rPr>
                <w:rFonts w:ascii="Times New Roman" w:hAnsi="Times New Roman" w:eastAsia="仿宋_GB2312" w:cs="Times New Roman"/>
                <w:kern w:val="0"/>
                <w:szCs w:val="21"/>
              </w:rPr>
              <w:t>成本</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重点指令课题费</w:t>
            </w:r>
          </w:p>
        </w:tc>
        <w:tc>
          <w:tcPr>
            <w:tcW w:w="3402"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每项重点指令课题给予资助的金额</w:t>
            </w:r>
          </w:p>
        </w:tc>
        <w:tc>
          <w:tcPr>
            <w:tcW w:w="1843" w:type="dxa"/>
            <w:shd w:val="clear" w:color="auto" w:fill="auto"/>
            <w:vAlign w:val="center"/>
          </w:tcPr>
          <w:p>
            <w:pPr>
              <w:widowControl/>
              <w:jc w:val="center"/>
              <w:textAlignment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0.3</w:t>
            </w:r>
            <w:r>
              <w:rPr>
                <w:rFonts w:hint="eastAsia" w:ascii="仿宋_GB2312" w:hAnsi="宋体" w:eastAsia="仿宋_GB2312" w:cs="仿宋_GB2312"/>
                <w:color w:val="000000"/>
                <w:kern w:val="0"/>
                <w:szCs w:val="21"/>
              </w:rPr>
              <w:t>万元/项</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vMerge w:val="continue"/>
            <w:shd w:val="clear" w:color="auto" w:fill="auto"/>
            <w:vAlign w:val="center"/>
          </w:tcPr>
          <w:p>
            <w:pPr>
              <w:widowControl/>
              <w:jc w:val="left"/>
              <w:textAlignment w:val="center"/>
              <w:rPr>
                <w:rFonts w:ascii="Times New Roman" w:hAnsi="Times New Roman" w:eastAsia="仿宋_GB2312" w:cs="Times New Roman"/>
              </w:rPr>
            </w:pP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一般指令课题费</w:t>
            </w:r>
          </w:p>
        </w:tc>
        <w:tc>
          <w:tcPr>
            <w:tcW w:w="3402"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每项一般指令课题给予资助的金额</w:t>
            </w:r>
          </w:p>
        </w:tc>
        <w:tc>
          <w:tcPr>
            <w:tcW w:w="1843" w:type="dxa"/>
            <w:shd w:val="clear" w:color="auto" w:fill="auto"/>
            <w:vAlign w:val="center"/>
          </w:tcPr>
          <w:p>
            <w:pPr>
              <w:widowControl/>
              <w:jc w:val="center"/>
              <w:textAlignment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0.1</w:t>
            </w:r>
            <w:r>
              <w:rPr>
                <w:rFonts w:hint="eastAsia" w:ascii="仿宋_GB2312" w:hAnsi="宋体" w:eastAsia="仿宋_GB2312" w:cs="仿宋_GB2312"/>
                <w:color w:val="000000"/>
                <w:kern w:val="0"/>
                <w:szCs w:val="21"/>
              </w:rPr>
              <w:t>万元/项</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vMerge w:val="continue"/>
            <w:shd w:val="clear" w:color="auto" w:fill="auto"/>
            <w:vAlign w:val="center"/>
          </w:tcPr>
          <w:p>
            <w:pPr>
              <w:widowControl/>
              <w:jc w:val="left"/>
              <w:textAlignment w:val="center"/>
              <w:rPr>
                <w:rFonts w:ascii="Times New Roman" w:hAnsi="Times New Roman" w:eastAsia="仿宋_GB2312" w:cs="Times New Roman"/>
              </w:rPr>
            </w:pP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聘请评委的成本</w:t>
            </w:r>
          </w:p>
        </w:tc>
        <w:tc>
          <w:tcPr>
            <w:tcW w:w="3402"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聘请评委评审所需经费</w:t>
            </w:r>
          </w:p>
        </w:tc>
        <w:tc>
          <w:tcPr>
            <w:tcW w:w="1843" w:type="dxa"/>
            <w:shd w:val="clear" w:color="auto" w:fill="auto"/>
            <w:vAlign w:val="center"/>
          </w:tcPr>
          <w:p>
            <w:pPr>
              <w:widowControl/>
              <w:jc w:val="center"/>
              <w:textAlignment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0.1</w:t>
            </w:r>
            <w:r>
              <w:rPr>
                <w:rFonts w:hint="eastAsia" w:ascii="Times New Roman" w:hAnsi="Times New Roman" w:eastAsia="仿宋_GB2312" w:cs="Times New Roman"/>
                <w:kern w:val="0"/>
                <w:szCs w:val="21"/>
              </w:rPr>
              <w:t>万元/人</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ascii="Times New Roman" w:hAnsi="Times New Roman" w:eastAsia="仿宋_GB2312" w:cs="Times New Roman"/>
                <w:kern w:val="0"/>
                <w:szCs w:val="21"/>
              </w:rPr>
              <w:t>社会效益</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Cs w:val="21"/>
              </w:rPr>
              <w:t>签批采纳数量</w:t>
            </w:r>
          </w:p>
        </w:tc>
        <w:tc>
          <w:tcPr>
            <w:tcW w:w="3402"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Cs w:val="21"/>
              </w:rPr>
              <w:t>研究成果被市领导签批或者市直部门采纳应用的数量</w:t>
            </w:r>
          </w:p>
        </w:tc>
        <w:tc>
          <w:tcPr>
            <w:tcW w:w="1843" w:type="dxa"/>
            <w:shd w:val="clear" w:color="auto" w:fill="auto"/>
            <w:vAlign w:val="center"/>
          </w:tcPr>
          <w:p>
            <w:pPr>
              <w:widowControl/>
              <w:jc w:val="center"/>
              <w:textAlignment w:val="center"/>
              <w:rPr>
                <w:rFonts w:hint="default" w:ascii="Times New Roman" w:hAnsi="Times New Roman" w:eastAsia="仿宋_GB2312" w:cs="Times New Roman"/>
                <w:lang w:val="en-US" w:eastAsia="zh-CN"/>
              </w:rPr>
            </w:pPr>
            <w:r>
              <w:rPr>
                <w:rFonts w:hint="eastAsia" w:ascii="仿宋_GB2312" w:hAnsi="宋体" w:eastAsia="仿宋_GB2312" w:cs="仿宋_GB2312"/>
                <w:color w:val="000000"/>
                <w:kern w:val="0"/>
                <w:szCs w:val="21"/>
              </w:rPr>
              <w:t>≥</w:t>
            </w:r>
            <w:r>
              <w:rPr>
                <w:rFonts w:hint="eastAsia" w:ascii="仿宋_GB2312" w:hAnsi="宋体" w:eastAsia="仿宋_GB2312" w:cs="仿宋_GB2312"/>
                <w:color w:val="000000"/>
                <w:kern w:val="0"/>
                <w:szCs w:val="21"/>
                <w:lang w:val="en-US" w:eastAsia="zh-CN"/>
              </w:rPr>
              <w:t>4项</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Cs w:val="21"/>
              </w:rPr>
              <w:t>综合历年来签批和采纳的数量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widowControl/>
              <w:jc w:val="center"/>
              <w:rPr>
                <w:rFonts w:ascii="Times New Roman" w:hAnsi="Times New Roman" w:eastAsia="仿宋_GB2312" w:cs="Times New Roman"/>
              </w:rPr>
            </w:pPr>
            <w:r>
              <w:rPr>
                <w:rFonts w:hint="eastAsia" w:ascii="Times New Roman" w:hAnsi="Times New Roman" w:eastAsia="仿宋_GB2312" w:cs="Times New Roman"/>
                <w:kern w:val="0"/>
                <w:szCs w:val="21"/>
                <w:lang w:val="en-US" w:eastAsia="zh-CN"/>
              </w:rPr>
              <w:t>服务对象</w:t>
            </w:r>
            <w:r>
              <w:rPr>
                <w:rFonts w:ascii="Times New Roman" w:hAnsi="Times New Roman" w:eastAsia="仿宋_GB2312" w:cs="Times New Roman"/>
                <w:kern w:val="0"/>
                <w:szCs w:val="21"/>
              </w:rPr>
              <w:t>满意度</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满意率</w:t>
            </w:r>
          </w:p>
        </w:tc>
        <w:tc>
          <w:tcPr>
            <w:tcW w:w="3402"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调查中服务对象反馈满意和较满意的数量占调查用户总数量的比率</w:t>
            </w:r>
          </w:p>
        </w:tc>
        <w:tc>
          <w:tcPr>
            <w:tcW w:w="1843" w:type="dxa"/>
            <w:shd w:val="clear" w:color="auto" w:fill="auto"/>
            <w:vAlign w:val="center"/>
          </w:tcPr>
          <w:p>
            <w:pPr>
              <w:widowControl/>
              <w:jc w:val="center"/>
              <w:textAlignment w:val="center"/>
              <w:rPr>
                <w:rFonts w:hint="default" w:ascii="Times New Roman" w:hAnsi="Times New Roman" w:eastAsia="仿宋_GB2312" w:cs="Times New Roman"/>
                <w:lang w:val="en-US" w:eastAsia="zh-CN"/>
              </w:rPr>
            </w:pPr>
            <w:r>
              <w:rPr>
                <w:rFonts w:hint="eastAsia" w:ascii="仿宋_GB2312" w:hAnsi="宋体" w:eastAsia="仿宋_GB2312" w:cs="仿宋_GB2312"/>
                <w:color w:val="000000"/>
                <w:kern w:val="0"/>
                <w:szCs w:val="21"/>
              </w:rPr>
              <w:t>≥</w:t>
            </w:r>
            <w:r>
              <w:rPr>
                <w:rFonts w:hint="eastAsia" w:ascii="仿宋_GB2312" w:hAnsi="宋体" w:eastAsia="仿宋_GB2312" w:cs="仿宋_GB2312"/>
                <w:color w:val="000000"/>
                <w:kern w:val="0"/>
                <w:szCs w:val="21"/>
                <w:lang w:val="en-US" w:eastAsia="zh-CN"/>
              </w:rPr>
              <w:t>90%</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Times New Roman" w:hAnsi="Times New Roman" w:eastAsia="仿宋_GB2312" w:cs="Times New Roman"/>
                <w:kern w:val="0"/>
                <w:szCs w:val="21"/>
              </w:rPr>
              <w:t>工作计划</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6</w:t>
      </w:r>
      <w:r>
        <w:rPr>
          <w:rFonts w:ascii="Times New Roman" w:hAnsi="Times New Roman" w:eastAsia="仿宋_GB2312" w:cs="Times New Roman"/>
          <w:sz w:val="28"/>
        </w:rPr>
        <w:t>.</w:t>
      </w:r>
      <w:r>
        <w:rPr>
          <w:rFonts w:hint="eastAsia" w:ascii="Times New Roman" w:hAnsi="Times New Roman" w:eastAsia="仿宋_GB2312" w:cs="Times New Roman"/>
          <w:sz w:val="28"/>
        </w:rPr>
        <w:t>巡回宣讲经费</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hint="eastAsia"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1.</w:t>
            </w:r>
            <w:r>
              <w:rPr>
                <w:rFonts w:hint="eastAsia" w:ascii="Times New Roman" w:hAnsi="Times New Roman" w:eastAsia="仿宋_GB2312" w:cs="Times New Roman"/>
                <w:kern w:val="0"/>
                <w:szCs w:val="21"/>
              </w:rPr>
              <w:t>通过开展巡回宣讲推动习近平新时代中国特色社会主义思想深入基层、深入人心</w:t>
            </w:r>
            <w:r>
              <w:rPr>
                <w:rFonts w:hint="eastAsia" w:ascii="Times New Roman" w:hAnsi="Times New Roman" w:eastAsia="仿宋_GB2312" w:cs="Times New Roman"/>
                <w:kern w:val="0"/>
                <w:szCs w:val="21"/>
                <w:lang w:eastAsia="zh-CN"/>
              </w:rPr>
              <w:t>。</w:t>
            </w:r>
          </w:p>
          <w:p>
            <w:pPr>
              <w:spacing w:line="300" w:lineRule="exact"/>
              <w:rPr>
                <w:rFonts w:hint="eastAsia"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2.</w:t>
            </w:r>
            <w:r>
              <w:rPr>
                <w:rFonts w:hint="eastAsia" w:ascii="Times New Roman" w:hAnsi="Times New Roman" w:eastAsia="仿宋_GB2312" w:cs="Times New Roman"/>
                <w:kern w:val="0"/>
                <w:szCs w:val="21"/>
              </w:rPr>
              <w:t>深入到全市各基层宣讲站开展巡回宣讲40场以上，受众人数3000人以上</w:t>
            </w:r>
            <w:r>
              <w:rPr>
                <w:rFonts w:hint="eastAsia" w:ascii="Times New Roman" w:hAnsi="Times New Roman" w:eastAsia="仿宋_GB2312" w:cs="Times New Roman"/>
                <w:kern w:val="0"/>
                <w:szCs w:val="21"/>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ascii="Times New Roman" w:hAnsi="Times New Roman" w:eastAsia="仿宋_GB2312" w:cs="Times New Roman"/>
                <w:kern w:val="0"/>
                <w:szCs w:val="21"/>
              </w:rPr>
              <w:t>数量</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center"/>
              <w:rPr>
                <w:rFonts w:ascii="Times New Roman" w:hAnsi="Times New Roman" w:eastAsia="仿宋_GB2312" w:cs="Times New Roman"/>
              </w:rPr>
            </w:pPr>
            <w:r>
              <w:rPr>
                <w:rFonts w:hint="eastAsia" w:ascii="Times New Roman" w:hAnsi="Times New Roman" w:eastAsia="仿宋_GB2312" w:cs="Times New Roman"/>
                <w:kern w:val="0"/>
                <w:szCs w:val="21"/>
              </w:rPr>
              <w:t>宣讲场次</w:t>
            </w:r>
            <w:r>
              <w:rPr>
                <w:rFonts w:ascii="Times New Roman" w:hAnsi="Times New Roman" w:eastAsia="仿宋_GB2312" w:cs="Times New Roman"/>
                <w:kern w:val="0"/>
                <w:szCs w:val="21"/>
              </w:rPr>
              <w:t>　</w:t>
            </w:r>
          </w:p>
        </w:tc>
        <w:tc>
          <w:tcPr>
            <w:tcW w:w="3402" w:type="dxa"/>
            <w:shd w:val="clear" w:color="auto" w:fill="auto"/>
            <w:vAlign w:val="center"/>
          </w:tcPr>
          <w:p>
            <w:pPr>
              <w:widowControl/>
              <w:jc w:val="center"/>
              <w:rPr>
                <w:rFonts w:ascii="Times New Roman" w:hAnsi="Times New Roman" w:eastAsia="仿宋_GB2312" w:cs="Times New Roman"/>
              </w:rPr>
            </w:pPr>
            <w:r>
              <w:rPr>
                <w:rFonts w:hint="eastAsia" w:ascii="Times New Roman" w:hAnsi="Times New Roman" w:eastAsia="仿宋_GB2312" w:cs="Times New Roman"/>
                <w:kern w:val="0"/>
                <w:szCs w:val="21"/>
              </w:rPr>
              <w:t>组建宣讲团深入到各县（市、区）宣讲站开展宣讲活动的场次</w:t>
            </w:r>
            <w:r>
              <w:rPr>
                <w:rFonts w:ascii="Times New Roman" w:hAnsi="Times New Roman" w:eastAsia="仿宋_GB2312" w:cs="Times New Roman"/>
                <w:kern w:val="0"/>
                <w:szCs w:val="21"/>
              </w:rPr>
              <w:t>　</w:t>
            </w:r>
          </w:p>
        </w:tc>
        <w:tc>
          <w:tcPr>
            <w:tcW w:w="1843" w:type="dxa"/>
            <w:shd w:val="clear" w:color="auto" w:fill="auto"/>
            <w:vAlign w:val="center"/>
          </w:tcPr>
          <w:p>
            <w:pPr>
              <w:widowControl/>
              <w:jc w:val="center"/>
              <w:textAlignment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40场</w:t>
            </w:r>
          </w:p>
        </w:tc>
        <w:tc>
          <w:tcPr>
            <w:tcW w:w="2155" w:type="dxa"/>
            <w:shd w:val="clear" w:color="auto" w:fill="auto"/>
            <w:vAlign w:val="center"/>
          </w:tcPr>
          <w:p>
            <w:pPr>
              <w:widowControl/>
              <w:jc w:val="left"/>
              <w:rPr>
                <w:rFonts w:ascii="Times New Roman" w:hAnsi="Times New Roman" w:eastAsia="仿宋_GB2312" w:cs="Times New Roman"/>
              </w:rPr>
            </w:pPr>
            <w:r>
              <w:rPr>
                <w:rFonts w:hint="eastAsia" w:ascii="Times New Roman" w:hAnsi="Times New Roman" w:eastAsia="仿宋_GB2312" w:cs="Times New Roman"/>
                <w:kern w:val="0"/>
                <w:szCs w:val="21"/>
              </w:rPr>
              <w:t>基层理论宣讲的现实需求和中央、省、市重大会议安排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ascii="Times New Roman" w:hAnsi="Times New Roman" w:eastAsia="仿宋_GB2312" w:cs="Times New Roman"/>
                <w:kern w:val="0"/>
                <w:szCs w:val="21"/>
              </w:rPr>
              <w:t>质量</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center"/>
              <w:rPr>
                <w:rFonts w:ascii="Times New Roman" w:hAnsi="Times New Roman" w:eastAsia="仿宋_GB2312" w:cs="Times New Roman"/>
              </w:rPr>
            </w:pPr>
            <w:r>
              <w:rPr>
                <w:rFonts w:hint="eastAsia" w:ascii="Times New Roman" w:hAnsi="Times New Roman" w:eastAsia="仿宋_GB2312" w:cs="Times New Roman"/>
                <w:kern w:val="0"/>
                <w:szCs w:val="21"/>
              </w:rPr>
              <w:t>上级单位对宣讲工作的评价</w:t>
            </w:r>
            <w:r>
              <w:rPr>
                <w:rFonts w:ascii="Times New Roman" w:hAnsi="Times New Roman" w:eastAsia="仿宋_GB2312" w:cs="Times New Roman"/>
                <w:kern w:val="0"/>
                <w:szCs w:val="21"/>
              </w:rPr>
              <w:t>　</w:t>
            </w:r>
          </w:p>
        </w:tc>
        <w:tc>
          <w:tcPr>
            <w:tcW w:w="3402" w:type="dxa"/>
            <w:shd w:val="clear" w:color="auto" w:fill="auto"/>
            <w:vAlign w:val="center"/>
          </w:tcPr>
          <w:p>
            <w:pPr>
              <w:widowControl/>
              <w:jc w:val="center"/>
              <w:rPr>
                <w:rFonts w:ascii="Times New Roman" w:hAnsi="Times New Roman" w:eastAsia="仿宋_GB2312" w:cs="Times New Roman"/>
              </w:rPr>
            </w:pPr>
            <w:r>
              <w:rPr>
                <w:rFonts w:hint="eastAsia" w:ascii="Times New Roman" w:hAnsi="Times New Roman" w:eastAsia="仿宋_GB2312" w:cs="Times New Roman"/>
                <w:kern w:val="0"/>
                <w:szCs w:val="21"/>
              </w:rPr>
              <w:t>上级领导部门对宣讲工作的肯定性评价</w:t>
            </w:r>
            <w:r>
              <w:rPr>
                <w:rFonts w:ascii="Times New Roman" w:hAnsi="Times New Roman" w:eastAsia="仿宋_GB2312" w:cs="Times New Roman"/>
                <w:kern w:val="0"/>
                <w:szCs w:val="21"/>
              </w:rPr>
              <w:t>　</w:t>
            </w:r>
          </w:p>
        </w:tc>
        <w:tc>
          <w:tcPr>
            <w:tcW w:w="1843" w:type="dxa"/>
            <w:shd w:val="clear" w:color="auto" w:fill="auto"/>
            <w:vAlign w:val="center"/>
          </w:tcPr>
          <w:p>
            <w:pPr>
              <w:widowControl/>
              <w:jc w:val="center"/>
              <w:textAlignment w:val="center"/>
              <w:rPr>
                <w:rFonts w:hint="eastAsia" w:ascii="Times New Roman" w:hAnsi="Times New Roman" w:eastAsia="仿宋_GB2312" w:cs="Times New Roman"/>
                <w:lang w:val="en-US" w:eastAsia="zh-CN"/>
              </w:rPr>
            </w:pPr>
            <w:r>
              <w:rPr>
                <w:rFonts w:ascii="Times New Roman" w:hAnsi="Times New Roman" w:eastAsia="仿宋_GB2312" w:cs="Times New Roman"/>
                <w:kern w:val="0"/>
                <w:szCs w:val="21"/>
              </w:rPr>
              <w:t>是否</w:t>
            </w:r>
            <w:r>
              <w:rPr>
                <w:rFonts w:hint="eastAsia" w:ascii="Times New Roman" w:hAnsi="Times New Roman" w:eastAsia="仿宋_GB2312" w:cs="Times New Roman"/>
                <w:kern w:val="0"/>
                <w:szCs w:val="21"/>
                <w:lang w:val="en-US" w:eastAsia="zh-CN"/>
              </w:rPr>
              <w:t>优秀</w:t>
            </w:r>
          </w:p>
        </w:tc>
        <w:tc>
          <w:tcPr>
            <w:tcW w:w="2155" w:type="dxa"/>
            <w:shd w:val="clear" w:color="auto" w:fill="auto"/>
            <w:vAlign w:val="center"/>
          </w:tcPr>
          <w:p>
            <w:pPr>
              <w:widowControl/>
              <w:jc w:val="left"/>
              <w:rPr>
                <w:rFonts w:ascii="Times New Roman" w:hAnsi="Times New Roman" w:eastAsia="仿宋_GB2312" w:cs="Times New Roman"/>
              </w:rPr>
            </w:pPr>
            <w:r>
              <w:rPr>
                <w:rFonts w:hint="eastAsia" w:ascii="Times New Roman" w:hAnsi="Times New Roman" w:eastAsia="仿宋_GB2312" w:cs="Times New Roman"/>
                <w:kern w:val="0"/>
                <w:szCs w:val="21"/>
              </w:rPr>
              <w:t>省讲师团评定结果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ascii="Times New Roman" w:hAnsi="Times New Roman" w:eastAsia="仿宋_GB2312" w:cs="Times New Roman"/>
                <w:kern w:val="0"/>
                <w:szCs w:val="21"/>
              </w:rPr>
              <w:t>时效</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Cs w:val="21"/>
              </w:rPr>
              <w:t>宣讲活动开展及时性</w:t>
            </w:r>
          </w:p>
        </w:tc>
        <w:tc>
          <w:tcPr>
            <w:tcW w:w="3402"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Cs w:val="21"/>
              </w:rPr>
              <w:t>在中央省市重大会议后</w:t>
            </w:r>
            <w:r>
              <w:rPr>
                <w:rFonts w:hint="eastAsia" w:ascii="仿宋_GB2312" w:hAnsi="宋体" w:eastAsia="仿宋_GB2312" w:cs="仿宋_GB2312"/>
                <w:color w:val="000000"/>
                <w:kern w:val="0"/>
                <w:szCs w:val="21"/>
                <w:lang w:val="en-US" w:eastAsia="zh-CN"/>
              </w:rPr>
              <w:t>及时宣讲</w:t>
            </w:r>
            <w:r>
              <w:rPr>
                <w:rFonts w:hint="eastAsia" w:ascii="仿宋_GB2312" w:hAnsi="宋体" w:eastAsia="仿宋_GB2312" w:cs="仿宋_GB2312"/>
                <w:color w:val="000000"/>
                <w:kern w:val="0"/>
                <w:szCs w:val="21"/>
              </w:rPr>
              <w:t>会议精神</w:t>
            </w:r>
          </w:p>
        </w:tc>
        <w:tc>
          <w:tcPr>
            <w:tcW w:w="1843" w:type="dxa"/>
            <w:shd w:val="clear" w:color="auto" w:fill="auto"/>
            <w:vAlign w:val="center"/>
          </w:tcPr>
          <w:p>
            <w:pPr>
              <w:widowControl/>
              <w:jc w:val="center"/>
              <w:textAlignment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1月</w:t>
            </w:r>
          </w:p>
        </w:tc>
        <w:tc>
          <w:tcPr>
            <w:tcW w:w="2155" w:type="dxa"/>
            <w:shd w:val="clear" w:color="auto" w:fill="auto"/>
            <w:vAlign w:val="center"/>
          </w:tcPr>
          <w:p>
            <w:pPr>
              <w:widowControl/>
              <w:jc w:val="left"/>
              <w:textAlignment w:val="center"/>
              <w:rPr>
                <w:rFonts w:ascii="Times New Roman" w:hAnsi="Times New Roman" w:eastAsia="仿宋_GB2312" w:cs="Times New Roman"/>
              </w:rPr>
            </w:pPr>
            <w:r>
              <w:rPr>
                <w:rFonts w:hint="eastAsia" w:ascii="仿宋_GB2312" w:hAnsi="宋体" w:eastAsia="仿宋_GB2312" w:cs="仿宋_GB2312"/>
                <w:color w:val="000000"/>
                <w:kern w:val="0"/>
                <w:szCs w:val="21"/>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ascii="Times New Roman" w:hAnsi="Times New Roman" w:eastAsia="仿宋_GB2312" w:cs="Times New Roman"/>
                <w:kern w:val="0"/>
                <w:szCs w:val="21"/>
              </w:rPr>
              <w:t>成本</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center"/>
              <w:rPr>
                <w:rFonts w:ascii="Times New Roman" w:hAnsi="Times New Roman" w:eastAsia="仿宋_GB2312" w:cs="Times New Roman"/>
              </w:rPr>
            </w:pPr>
            <w:r>
              <w:rPr>
                <w:rFonts w:hint="eastAsia" w:ascii="Times New Roman" w:hAnsi="Times New Roman" w:eastAsia="仿宋_GB2312" w:cs="Times New Roman"/>
                <w:kern w:val="0"/>
                <w:szCs w:val="21"/>
              </w:rPr>
              <w:t>每场宣讲活动聘用宣讲员的成本</w:t>
            </w:r>
          </w:p>
        </w:tc>
        <w:tc>
          <w:tcPr>
            <w:tcW w:w="3402" w:type="dxa"/>
            <w:shd w:val="clear" w:color="auto" w:fill="auto"/>
            <w:vAlign w:val="center"/>
          </w:tcPr>
          <w:p>
            <w:pPr>
              <w:widowControl/>
              <w:jc w:val="center"/>
              <w:rPr>
                <w:rFonts w:ascii="Times New Roman" w:hAnsi="Times New Roman" w:eastAsia="仿宋_GB2312" w:cs="Times New Roman"/>
              </w:rPr>
            </w:pPr>
            <w:r>
              <w:rPr>
                <w:rFonts w:hint="eastAsia" w:ascii="Times New Roman" w:hAnsi="Times New Roman" w:eastAsia="仿宋_GB2312" w:cs="Times New Roman"/>
                <w:kern w:val="0"/>
                <w:szCs w:val="21"/>
              </w:rPr>
              <w:t>每场宣讲活动聘用宣讲员所需经费</w:t>
            </w:r>
          </w:p>
        </w:tc>
        <w:tc>
          <w:tcPr>
            <w:tcW w:w="1843" w:type="dxa"/>
            <w:shd w:val="clear" w:color="auto" w:fill="auto"/>
            <w:vAlign w:val="center"/>
          </w:tcPr>
          <w:p>
            <w:pPr>
              <w:widowControl/>
              <w:jc w:val="center"/>
              <w:textAlignment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0.1</w:t>
            </w:r>
            <w:r>
              <w:rPr>
                <w:rFonts w:hint="eastAsia" w:ascii="Times New Roman" w:hAnsi="Times New Roman" w:eastAsia="仿宋_GB2312" w:cs="Times New Roman"/>
                <w:kern w:val="0"/>
                <w:szCs w:val="21"/>
              </w:rPr>
              <w:t>万元/场</w:t>
            </w:r>
          </w:p>
        </w:tc>
        <w:tc>
          <w:tcPr>
            <w:tcW w:w="2155" w:type="dxa"/>
            <w:shd w:val="clear" w:color="auto" w:fill="auto"/>
            <w:vAlign w:val="center"/>
          </w:tcPr>
          <w:p>
            <w:pPr>
              <w:widowControl/>
              <w:jc w:val="left"/>
              <w:rPr>
                <w:rFonts w:ascii="Times New Roman" w:hAnsi="Times New Roman" w:eastAsia="仿宋_GB2312" w:cs="Times New Roman"/>
              </w:rPr>
            </w:pPr>
            <w:r>
              <w:rPr>
                <w:rFonts w:hint="eastAsia" w:ascii="仿宋_GB2312" w:hAnsi="Times New Roman" w:eastAsia="仿宋_GB2312" w:cs="Times New Roman"/>
                <w:kern w:val="0"/>
                <w:szCs w:val="21"/>
              </w:rPr>
              <w:t>《廊坊市市级机关培训费管理办法》廊财行〔2019〕19号文件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ascii="Times New Roman" w:hAnsi="Times New Roman" w:eastAsia="仿宋_GB2312" w:cs="Times New Roman"/>
                <w:kern w:val="0"/>
                <w:szCs w:val="21"/>
              </w:rPr>
              <w:t>成本</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center"/>
              <w:rPr>
                <w:rFonts w:ascii="Times New Roman" w:hAnsi="Times New Roman" w:eastAsia="仿宋_GB2312" w:cs="Times New Roman"/>
              </w:rPr>
            </w:pPr>
            <w:r>
              <w:rPr>
                <w:rFonts w:hint="eastAsia" w:ascii="Times New Roman" w:hAnsi="Times New Roman" w:eastAsia="仿宋_GB2312" w:cs="Times New Roman"/>
                <w:kern w:val="0"/>
                <w:szCs w:val="21"/>
              </w:rPr>
              <w:t>理论书籍的成本</w:t>
            </w:r>
          </w:p>
        </w:tc>
        <w:tc>
          <w:tcPr>
            <w:tcW w:w="3402" w:type="dxa"/>
            <w:shd w:val="clear" w:color="auto" w:fill="auto"/>
            <w:vAlign w:val="center"/>
          </w:tcPr>
          <w:p>
            <w:pPr>
              <w:widowControl/>
              <w:jc w:val="center"/>
              <w:rPr>
                <w:rFonts w:ascii="Times New Roman" w:hAnsi="Times New Roman" w:eastAsia="仿宋_GB2312" w:cs="Times New Roman"/>
              </w:rPr>
            </w:pPr>
            <w:r>
              <w:rPr>
                <w:rFonts w:hint="eastAsia" w:ascii="仿宋_GB2312" w:hAnsi="Times New Roman" w:eastAsia="仿宋_GB2312" w:cs="Times New Roman"/>
                <w:kern w:val="0"/>
                <w:szCs w:val="21"/>
              </w:rPr>
              <w:t>每本理论书籍所需经费</w:t>
            </w:r>
          </w:p>
        </w:tc>
        <w:tc>
          <w:tcPr>
            <w:tcW w:w="1843" w:type="dxa"/>
            <w:shd w:val="clear" w:color="auto" w:fill="auto"/>
            <w:vAlign w:val="center"/>
          </w:tcPr>
          <w:p>
            <w:pPr>
              <w:widowControl/>
              <w:jc w:val="center"/>
              <w:textAlignment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50</w:t>
            </w:r>
            <w:r>
              <w:rPr>
                <w:rFonts w:hint="eastAsia" w:ascii="Times New Roman" w:hAnsi="Times New Roman" w:eastAsia="仿宋_GB2312" w:cs="Times New Roman"/>
                <w:kern w:val="0"/>
                <w:szCs w:val="21"/>
              </w:rPr>
              <w:t>元/本</w:t>
            </w:r>
          </w:p>
        </w:tc>
        <w:tc>
          <w:tcPr>
            <w:tcW w:w="2155" w:type="dxa"/>
            <w:shd w:val="clear" w:color="auto" w:fill="auto"/>
            <w:vAlign w:val="center"/>
          </w:tcPr>
          <w:p>
            <w:pPr>
              <w:widowControl/>
              <w:jc w:val="left"/>
              <w:rPr>
                <w:rFonts w:ascii="Times New Roman" w:hAnsi="Times New Roman" w:eastAsia="仿宋_GB2312" w:cs="Times New Roman"/>
              </w:rPr>
            </w:pPr>
            <w:r>
              <w:rPr>
                <w:rFonts w:hint="eastAsia" w:ascii="仿宋_GB2312" w:hAnsi="Times New Roman" w:eastAsia="仿宋_GB2312" w:cs="Times New Roman"/>
                <w:kern w:val="0"/>
                <w:szCs w:val="21"/>
              </w:rPr>
              <w:t>实际单价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widowControl/>
              <w:jc w:val="center"/>
              <w:rPr>
                <w:rFonts w:hint="eastAsia" w:ascii="Times New Roman" w:hAnsi="Times New Roman" w:eastAsia="仿宋_GB2312" w:cs="Times New Roman"/>
                <w:lang w:val="en-US" w:eastAsia="zh-CN"/>
              </w:rPr>
            </w:pPr>
            <w:r>
              <w:rPr>
                <w:rFonts w:ascii="Times New Roman" w:hAnsi="Times New Roman" w:eastAsia="仿宋_GB2312" w:cs="Times New Roman"/>
                <w:kern w:val="0"/>
                <w:szCs w:val="21"/>
              </w:rPr>
              <w:t>社会效益</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center"/>
              <w:rPr>
                <w:rFonts w:ascii="Times New Roman" w:hAnsi="Times New Roman" w:eastAsia="仿宋_GB2312" w:cs="Times New Roman"/>
              </w:rPr>
            </w:pPr>
            <w:r>
              <w:rPr>
                <w:rFonts w:hint="eastAsia" w:ascii="Times New Roman" w:hAnsi="Times New Roman" w:eastAsia="仿宋_GB2312" w:cs="Times New Roman"/>
                <w:kern w:val="0"/>
                <w:szCs w:val="21"/>
              </w:rPr>
              <w:t>宣讲活动受众人数</w:t>
            </w:r>
          </w:p>
        </w:tc>
        <w:tc>
          <w:tcPr>
            <w:tcW w:w="3402" w:type="dxa"/>
            <w:shd w:val="clear" w:color="auto" w:fill="auto"/>
            <w:vAlign w:val="center"/>
          </w:tcPr>
          <w:p>
            <w:pPr>
              <w:widowControl/>
              <w:jc w:val="center"/>
              <w:rPr>
                <w:rFonts w:ascii="Times New Roman" w:hAnsi="Times New Roman" w:eastAsia="仿宋_GB2312" w:cs="Times New Roman"/>
              </w:rPr>
            </w:pPr>
            <w:r>
              <w:rPr>
                <w:rFonts w:hint="eastAsia" w:ascii="Times New Roman" w:hAnsi="Times New Roman" w:eastAsia="仿宋_GB2312" w:cs="Times New Roman"/>
                <w:kern w:val="0"/>
                <w:szCs w:val="21"/>
              </w:rPr>
              <w:t>宣讲活动辅导的干部群众人数</w:t>
            </w:r>
          </w:p>
        </w:tc>
        <w:tc>
          <w:tcPr>
            <w:tcW w:w="1843" w:type="dxa"/>
            <w:shd w:val="clear" w:color="auto" w:fill="auto"/>
            <w:vAlign w:val="center"/>
          </w:tcPr>
          <w:p>
            <w:pPr>
              <w:widowControl/>
              <w:jc w:val="center"/>
              <w:textAlignment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3000人</w:t>
            </w:r>
          </w:p>
        </w:tc>
        <w:tc>
          <w:tcPr>
            <w:tcW w:w="2155" w:type="dxa"/>
            <w:shd w:val="clear" w:color="auto" w:fill="auto"/>
            <w:vAlign w:val="center"/>
          </w:tcPr>
          <w:p>
            <w:pPr>
              <w:widowControl/>
              <w:jc w:val="left"/>
              <w:rPr>
                <w:rFonts w:ascii="Times New Roman" w:hAnsi="Times New Roman" w:eastAsia="仿宋_GB2312" w:cs="Times New Roman"/>
              </w:rPr>
            </w:pPr>
            <w:r>
              <w:rPr>
                <w:rFonts w:ascii="Times New Roman" w:hAnsi="Times New Roman" w:eastAsia="仿宋_GB2312" w:cs="Times New Roman"/>
                <w:kern w:val="0"/>
                <w:szCs w:val="21"/>
              </w:rPr>
              <w:t>宣讲工作记录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widowControl/>
              <w:jc w:val="center"/>
              <w:rPr>
                <w:rFonts w:ascii="Times New Roman" w:hAnsi="Times New Roman" w:eastAsia="仿宋_GB2312" w:cs="Times New Roman"/>
              </w:rPr>
            </w:pPr>
            <w:r>
              <w:rPr>
                <w:rFonts w:hint="eastAsia" w:ascii="Times New Roman" w:hAnsi="Times New Roman" w:eastAsia="仿宋_GB2312" w:cs="Times New Roman"/>
                <w:kern w:val="0"/>
                <w:szCs w:val="21"/>
                <w:lang w:val="en-US" w:eastAsia="zh-CN"/>
              </w:rPr>
              <w:t>服务对象</w:t>
            </w:r>
            <w:r>
              <w:rPr>
                <w:rFonts w:ascii="Times New Roman" w:hAnsi="Times New Roman" w:eastAsia="仿宋_GB2312" w:cs="Times New Roman"/>
                <w:kern w:val="0"/>
                <w:szCs w:val="21"/>
              </w:rPr>
              <w:t>满意度</w:t>
            </w:r>
            <w:r>
              <w:rPr>
                <w:rFonts w:hint="eastAsia" w:ascii="Times New Roman" w:hAnsi="Times New Roman" w:eastAsia="仿宋_GB2312" w:cs="Times New Roman"/>
                <w:kern w:val="0"/>
                <w:szCs w:val="21"/>
                <w:lang w:val="en-US" w:eastAsia="zh-CN"/>
              </w:rPr>
              <w:t>指标</w:t>
            </w:r>
          </w:p>
        </w:tc>
        <w:tc>
          <w:tcPr>
            <w:tcW w:w="1985" w:type="dxa"/>
            <w:shd w:val="clear" w:color="auto" w:fill="auto"/>
            <w:vAlign w:val="center"/>
          </w:tcPr>
          <w:p>
            <w:pPr>
              <w:widowControl/>
              <w:jc w:val="center"/>
              <w:rPr>
                <w:rFonts w:ascii="Times New Roman" w:hAnsi="Times New Roman" w:eastAsia="仿宋_GB2312" w:cs="Times New Roman"/>
              </w:rPr>
            </w:pPr>
            <w:r>
              <w:rPr>
                <w:rFonts w:hint="eastAsia" w:ascii="Times New Roman" w:hAnsi="Times New Roman" w:eastAsia="仿宋_GB2312" w:cs="Times New Roman"/>
                <w:kern w:val="0"/>
                <w:szCs w:val="21"/>
              </w:rPr>
              <w:t>宣讲活动辅导的干部群众满意度</w:t>
            </w:r>
            <w:r>
              <w:rPr>
                <w:rFonts w:ascii="Times New Roman" w:hAnsi="Times New Roman" w:eastAsia="仿宋_GB2312" w:cs="Times New Roman"/>
                <w:kern w:val="0"/>
                <w:szCs w:val="21"/>
              </w:rPr>
              <w:t>　</w:t>
            </w:r>
          </w:p>
        </w:tc>
        <w:tc>
          <w:tcPr>
            <w:tcW w:w="3402" w:type="dxa"/>
            <w:shd w:val="clear" w:color="auto" w:fill="auto"/>
            <w:vAlign w:val="center"/>
          </w:tcPr>
          <w:p>
            <w:pPr>
              <w:widowControl/>
              <w:jc w:val="center"/>
              <w:rPr>
                <w:rFonts w:ascii="Times New Roman" w:hAnsi="Times New Roman" w:eastAsia="仿宋_GB2312" w:cs="Times New Roman"/>
              </w:rPr>
            </w:pPr>
            <w:r>
              <w:rPr>
                <w:rFonts w:hint="eastAsia" w:ascii="Times New Roman" w:hAnsi="Times New Roman" w:eastAsia="仿宋_GB2312" w:cs="Times New Roman"/>
                <w:kern w:val="0"/>
                <w:szCs w:val="21"/>
              </w:rPr>
              <w:t>宣讲活动辅导的干部群众给予好评的人数的比率</w:t>
            </w:r>
          </w:p>
        </w:tc>
        <w:tc>
          <w:tcPr>
            <w:tcW w:w="1843" w:type="dxa"/>
            <w:shd w:val="clear" w:color="auto" w:fill="auto"/>
            <w:vAlign w:val="center"/>
          </w:tcPr>
          <w:p>
            <w:pPr>
              <w:widowControl/>
              <w:jc w:val="center"/>
              <w:textAlignment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kern w:val="0"/>
                <w:szCs w:val="21"/>
              </w:rPr>
              <w:t>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2" w:name="_Toc64920910"/>
      <w:r>
        <w:rPr>
          <w:rFonts w:hint="eastAsia" w:ascii="方正小标宋_GBK" w:eastAsia="方正小标宋_GBK" w:cs="Times New Roman"/>
          <w:sz w:val="32"/>
        </w:rPr>
        <w:t>部门政府采购预算</w:t>
      </w:r>
      <w:bookmarkEnd w:id="2"/>
    </w:p>
    <w:tbl>
      <w:tblPr>
        <w:tblStyle w:val="8"/>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cs="Times New Roman"/>
                <w:sz w:val="24"/>
              </w:rPr>
              <w:t>中共廊坊市委讲师团（廊坊市社会科学界联合会）</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中共廊坊市委讲师团（廊坊市社会科学界联合会）</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51.06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廊坊市市直部门固定资产占用情况表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Layout w:type="fixed"/>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17.98</w:t>
            </w: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Layout w:type="fixed"/>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67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33.08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Arial Unicode MS"/>
    <w:panose1 w:val="00000000000000000000"/>
    <w:charset w:val="86"/>
    <w:family w:val="script"/>
    <w:pitch w:val="default"/>
    <w:sig w:usb0="00000000" w:usb1="0000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4</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2"/>
  </w:compat>
  <w:rsids>
    <w:rsidRoot w:val="00D347CC"/>
    <w:rsid w:val="004A54AA"/>
    <w:rsid w:val="00B80935"/>
    <w:rsid w:val="00D347CC"/>
    <w:rsid w:val="04E5366C"/>
    <w:rsid w:val="051327C5"/>
    <w:rsid w:val="06CF7B56"/>
    <w:rsid w:val="07D10F2A"/>
    <w:rsid w:val="081A113F"/>
    <w:rsid w:val="08BF6931"/>
    <w:rsid w:val="08CB31F9"/>
    <w:rsid w:val="095D7F7D"/>
    <w:rsid w:val="0BEC6890"/>
    <w:rsid w:val="0C014A69"/>
    <w:rsid w:val="0DA45099"/>
    <w:rsid w:val="11F00007"/>
    <w:rsid w:val="14762372"/>
    <w:rsid w:val="191F5437"/>
    <w:rsid w:val="1B9669AA"/>
    <w:rsid w:val="1C887387"/>
    <w:rsid w:val="1D70164E"/>
    <w:rsid w:val="20140623"/>
    <w:rsid w:val="219174D7"/>
    <w:rsid w:val="21C518D8"/>
    <w:rsid w:val="2648470D"/>
    <w:rsid w:val="269D06EB"/>
    <w:rsid w:val="29B21D75"/>
    <w:rsid w:val="2B197ED2"/>
    <w:rsid w:val="2BC530B7"/>
    <w:rsid w:val="333B1188"/>
    <w:rsid w:val="38A55FA9"/>
    <w:rsid w:val="3B983007"/>
    <w:rsid w:val="3B9A12E4"/>
    <w:rsid w:val="3BBC455A"/>
    <w:rsid w:val="3C794C6A"/>
    <w:rsid w:val="40B41B26"/>
    <w:rsid w:val="414E38FF"/>
    <w:rsid w:val="423313D5"/>
    <w:rsid w:val="43386555"/>
    <w:rsid w:val="43723FC1"/>
    <w:rsid w:val="44E96EA4"/>
    <w:rsid w:val="45815B57"/>
    <w:rsid w:val="4662388D"/>
    <w:rsid w:val="47A71929"/>
    <w:rsid w:val="4826681C"/>
    <w:rsid w:val="4C661173"/>
    <w:rsid w:val="4ECE63B7"/>
    <w:rsid w:val="549F730B"/>
    <w:rsid w:val="54CE759E"/>
    <w:rsid w:val="55B905DB"/>
    <w:rsid w:val="587A3DE5"/>
    <w:rsid w:val="58A164B0"/>
    <w:rsid w:val="59C27E53"/>
    <w:rsid w:val="5AB33F80"/>
    <w:rsid w:val="5ADB23D6"/>
    <w:rsid w:val="5C3B2EDD"/>
    <w:rsid w:val="5D14135A"/>
    <w:rsid w:val="608B234D"/>
    <w:rsid w:val="6288055D"/>
    <w:rsid w:val="63D66B83"/>
    <w:rsid w:val="669463D2"/>
    <w:rsid w:val="67266AD1"/>
    <w:rsid w:val="67921809"/>
    <w:rsid w:val="686B4CEE"/>
    <w:rsid w:val="689702CE"/>
    <w:rsid w:val="69E34A90"/>
    <w:rsid w:val="72BA7D5B"/>
    <w:rsid w:val="72D06D17"/>
    <w:rsid w:val="73C139E6"/>
    <w:rsid w:val="74557DF9"/>
    <w:rsid w:val="74B4730F"/>
    <w:rsid w:val="758B52C1"/>
    <w:rsid w:val="77944696"/>
    <w:rsid w:val="789A2B9E"/>
    <w:rsid w:val="7BF77EAF"/>
    <w:rsid w:val="7D4B4CD7"/>
    <w:rsid w:val="7FB536D1"/>
    <w:rsid w:val="7FD16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492</Words>
  <Characters>2808</Characters>
  <Lines>23</Lines>
  <Paragraphs>6</Paragraphs>
  <TotalTime>3</TotalTime>
  <ScaleCrop>false</ScaleCrop>
  <LinksUpToDate>false</LinksUpToDate>
  <CharactersWithSpaces>3294</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Administrator</cp:lastModifiedBy>
  <cp:lastPrinted>2018-01-30T06:12:00Z</cp:lastPrinted>
  <dcterms:modified xsi:type="dcterms:W3CDTF">2021-02-28T03:03:35Z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